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A91" w:rsidRDefault="004A6A91">
      <w:pPr>
        <w:ind w:left="851" w:hanging="284"/>
        <w:rPr>
          <w:rFonts w:ascii="Arial" w:hAnsi="Arial" w:cs="Arial"/>
        </w:rPr>
      </w:pPr>
      <w:bookmarkStart w:id="0" w:name="_GoBack"/>
      <w:bookmarkEnd w:id="0"/>
    </w:p>
    <w:p w:rsidR="004A6A91" w:rsidRDefault="004F472D">
      <w:pPr>
        <w:widowControl w:val="0"/>
        <w:jc w:val="center"/>
        <w:rPr>
          <w:rFonts w:ascii="Arial" w:hAnsi="Arial" w:cs="Arial"/>
          <w:sz w:val="24"/>
          <w:szCs w:val="20"/>
        </w:rPr>
      </w:pPr>
      <w:r>
        <w:rPr>
          <w:rFonts w:ascii="Arial" w:hAnsi="Arial" w:cs="Arial"/>
          <w:b/>
          <w:sz w:val="28"/>
        </w:rPr>
        <w:t xml:space="preserve">Příloha č. </w:t>
      </w:r>
      <w:proofErr w:type="gramStart"/>
      <w:r>
        <w:rPr>
          <w:rFonts w:ascii="Arial" w:hAnsi="Arial" w:cs="Arial"/>
          <w:b/>
          <w:sz w:val="28"/>
        </w:rPr>
        <w:t>1a</w:t>
      </w:r>
      <w:proofErr w:type="gramEnd"/>
      <w:r>
        <w:rPr>
          <w:rFonts w:ascii="Arial" w:hAnsi="Arial" w:cs="Arial"/>
          <w:b/>
          <w:sz w:val="28"/>
        </w:rPr>
        <w:t xml:space="preserve"> zadávací dokumentace</w:t>
      </w:r>
    </w:p>
    <w:p w:rsidR="004A6A91" w:rsidRDefault="004F472D">
      <w:pPr>
        <w:widowControl w:val="0"/>
        <w:jc w:val="center"/>
        <w:rPr>
          <w:rFonts w:ascii="Arial" w:hAnsi="Arial" w:cs="Arial"/>
        </w:rPr>
      </w:pPr>
      <w:proofErr w:type="gramStart"/>
      <w:r>
        <w:rPr>
          <w:rFonts w:ascii="Arial" w:hAnsi="Arial" w:cs="Arial"/>
          <w:sz w:val="24"/>
        </w:rPr>
        <w:t>CESNET - Dodávka</w:t>
      </w:r>
      <w:proofErr w:type="gramEnd"/>
      <w:r>
        <w:rPr>
          <w:rFonts w:ascii="Arial" w:hAnsi="Arial" w:cs="Arial"/>
          <w:sz w:val="24"/>
        </w:rPr>
        <w:t xml:space="preserve"> clusteru pro Národní </w:t>
      </w:r>
      <w:proofErr w:type="spellStart"/>
      <w:r>
        <w:rPr>
          <w:rFonts w:ascii="Arial" w:hAnsi="Arial" w:cs="Arial"/>
          <w:sz w:val="24"/>
        </w:rPr>
        <w:t>repozitářovou</w:t>
      </w:r>
      <w:proofErr w:type="spellEnd"/>
      <w:r>
        <w:rPr>
          <w:rFonts w:ascii="Arial" w:hAnsi="Arial" w:cs="Arial"/>
          <w:sz w:val="24"/>
        </w:rPr>
        <w:t xml:space="preserve"> platformu 2 (2025)</w:t>
      </w:r>
    </w:p>
    <w:p w:rsidR="004A6A91" w:rsidRDefault="004F472D">
      <w:pPr>
        <w:widowControl w:val="0"/>
        <w:jc w:val="center"/>
        <w:rPr>
          <w:rFonts w:ascii="Arial" w:hAnsi="Arial" w:cs="Arial"/>
          <w:sz w:val="24"/>
        </w:rPr>
      </w:pPr>
      <w:r>
        <w:rPr>
          <w:rFonts w:ascii="Arial" w:hAnsi="Arial" w:cs="Arial"/>
          <w:sz w:val="24"/>
        </w:rPr>
        <w:t>(projekt „NRP“)</w:t>
      </w:r>
    </w:p>
    <w:p w:rsidR="004A6A91" w:rsidRDefault="004A6A91">
      <w:pPr>
        <w:widowControl w:val="0"/>
        <w:jc w:val="center"/>
        <w:rPr>
          <w:rFonts w:ascii="Arial" w:hAnsi="Arial" w:cs="Arial"/>
        </w:rPr>
      </w:pPr>
    </w:p>
    <w:p w:rsidR="004A6A91" w:rsidRDefault="004F472D">
      <w:pPr>
        <w:widowControl w:val="0"/>
        <w:jc w:val="center"/>
        <w:rPr>
          <w:rFonts w:ascii="Arial" w:hAnsi="Arial" w:cs="Arial"/>
          <w:b/>
          <w:sz w:val="28"/>
        </w:rPr>
      </w:pPr>
      <w:r>
        <w:rPr>
          <w:rFonts w:ascii="Arial" w:hAnsi="Arial" w:cs="Arial"/>
          <w:b/>
          <w:sz w:val="28"/>
        </w:rPr>
        <w:t>Popis podmínek pro dodávku a instalaci do lokality IT4Innovations</w:t>
      </w:r>
    </w:p>
    <w:p w:rsidR="004A6A91" w:rsidRDefault="004A6A91">
      <w:pPr>
        <w:ind w:left="851" w:hanging="284"/>
        <w:rPr>
          <w:rFonts w:ascii="Arial" w:hAnsi="Arial" w:cs="Arial"/>
        </w:rPr>
      </w:pPr>
    </w:p>
    <w:p w:rsidR="004A6A91" w:rsidRDefault="004F472D">
      <w:pPr>
        <w:pBdr>
          <w:top w:val="single" w:sz="4" w:space="1" w:color="000000"/>
          <w:bottom w:val="single" w:sz="4" w:space="1" w:color="000000"/>
        </w:pBdr>
        <w:rPr>
          <w:rFonts w:ascii="Arial" w:hAnsi="Arial" w:cs="Arial"/>
          <w:sz w:val="24"/>
        </w:rPr>
      </w:pPr>
      <w:r>
        <w:rPr>
          <w:rFonts w:ascii="Arial" w:hAnsi="Arial" w:cs="Arial"/>
          <w:color w:val="FF0000"/>
        </w:rPr>
        <w:t xml:space="preserve">Zadavatel doporučuje dodavatelům tuto přílohu použít jako </w:t>
      </w:r>
      <w:proofErr w:type="spellStart"/>
      <w:r>
        <w:rPr>
          <w:rFonts w:ascii="Arial" w:hAnsi="Arial" w:cs="Arial"/>
          <w:color w:val="FF0000"/>
        </w:rPr>
        <w:t>checklist</w:t>
      </w:r>
      <w:proofErr w:type="spellEnd"/>
      <w:r>
        <w:rPr>
          <w:rFonts w:ascii="Arial" w:hAnsi="Arial" w:cs="Arial"/>
          <w:color w:val="FF0000"/>
        </w:rPr>
        <w:t>, zda jeho řešení splňuje uvedené požadavky či zda počítá s danými podmínkami. U některých bodů této přílohy je červeně vyznačen výslovný požadavek zadavatele na uvedení příslušných údajů do nabídky.</w:t>
      </w:r>
      <w:r>
        <w:rPr>
          <w:rFonts w:ascii="Arial" w:hAnsi="Arial" w:cs="Arial"/>
          <w:sz w:val="24"/>
        </w:rPr>
        <w:t xml:space="preserve"> </w:t>
      </w:r>
    </w:p>
    <w:p w:rsidR="004A6A91" w:rsidRDefault="004A6A91">
      <w:pPr>
        <w:ind w:left="851" w:hanging="284"/>
        <w:rPr>
          <w:rFonts w:ascii="Arial" w:hAnsi="Arial" w:cs="Arial"/>
        </w:rPr>
      </w:pPr>
    </w:p>
    <w:p w:rsidR="004A6A91" w:rsidRPr="00700832" w:rsidRDefault="004F472D" w:rsidP="00700832">
      <w:pPr>
        <w:ind w:left="567"/>
        <w:rPr>
          <w:rFonts w:ascii="Arial" w:hAnsi="Arial" w:cs="Arial"/>
          <w:u w:val="single"/>
        </w:rPr>
      </w:pPr>
      <w:r w:rsidRPr="00700832">
        <w:rPr>
          <w:rFonts w:ascii="Arial" w:hAnsi="Arial" w:cs="Arial"/>
          <w:u w:val="single"/>
        </w:rPr>
        <w:t>Preambule</w:t>
      </w:r>
    </w:p>
    <w:p w:rsidR="004A6A91" w:rsidRDefault="004F472D" w:rsidP="00700832">
      <w:pPr>
        <w:pStyle w:val="Odstavecseseznamem"/>
        <w:ind w:left="567"/>
        <w:rPr>
          <w:rFonts w:ascii="Arial" w:hAnsi="Arial" w:cs="Arial"/>
          <w:szCs w:val="22"/>
        </w:rPr>
      </w:pPr>
      <w:r>
        <w:rPr>
          <w:rFonts w:ascii="Arial" w:hAnsi="Arial" w:cs="Arial"/>
          <w:szCs w:val="22"/>
        </w:rPr>
        <w:t>Tato příloha zadávací dokumentace v části 1 popisuje požadavky na fyzickou infrastrukturu dodávanou do prostor IT4I v Ostravě, specifikaci dodávaných racků, komponent napájení a chlazení. V části 2 jsou popsány obecné technické a prostorové parametry datového centra IT4Innovations.</w:t>
      </w:r>
    </w:p>
    <w:p w:rsidR="004A6A91" w:rsidRDefault="004A6A91">
      <w:pPr>
        <w:pStyle w:val="Odstavecseseznamem"/>
        <w:ind w:left="720"/>
        <w:rPr>
          <w:rFonts w:ascii="Arial" w:hAnsi="Arial" w:cs="Arial"/>
          <w:szCs w:val="22"/>
        </w:rPr>
      </w:pPr>
    </w:p>
    <w:p w:rsidR="004A6A91" w:rsidRDefault="004F472D">
      <w:pPr>
        <w:pStyle w:val="Nadpis2"/>
        <w:ind w:left="851" w:hanging="284"/>
      </w:pPr>
      <w:r>
        <w:t>Integrace do datového centra IT4Innovations</w:t>
      </w:r>
    </w:p>
    <w:p w:rsidR="004A6A91" w:rsidRDefault="004A6A91">
      <w:pPr>
        <w:pStyle w:val="Odstavecseseznamem"/>
        <w:ind w:left="720"/>
        <w:rPr>
          <w:rFonts w:ascii="Arial" w:hAnsi="Arial" w:cs="Arial"/>
          <w:szCs w:val="22"/>
        </w:rPr>
      </w:pPr>
    </w:p>
    <w:p w:rsidR="004A6A91" w:rsidRDefault="004F472D">
      <w:pPr>
        <w:pStyle w:val="Odstavecseseznamem"/>
        <w:numPr>
          <w:ilvl w:val="0"/>
          <w:numId w:val="5"/>
        </w:numPr>
        <w:rPr>
          <w:rFonts w:ascii="Arial" w:hAnsi="Arial" w:cs="Arial"/>
          <w:szCs w:val="22"/>
        </w:rPr>
      </w:pPr>
      <w:r>
        <w:rPr>
          <w:rFonts w:ascii="Arial" w:hAnsi="Arial" w:cs="Arial"/>
        </w:rPr>
        <w:t xml:space="preserve">Integrací do datového centra </w:t>
      </w:r>
      <w:r>
        <w:rPr>
          <w:rFonts w:ascii="Arial" w:hAnsi="Arial" w:cs="Arial"/>
          <w:szCs w:val="22"/>
        </w:rPr>
        <w:t xml:space="preserve">se rozumí veškeré dodávky a činnosti, jejichž výsledkem bude zprovoznění </w:t>
      </w:r>
      <w:r>
        <w:rPr>
          <w:rFonts w:ascii="Arial" w:hAnsi="Arial" w:cs="Arial"/>
        </w:rPr>
        <w:t xml:space="preserve">NRP úložiště dodavatelem v prostorách a infrastruktuře </w:t>
      </w:r>
      <w:r>
        <w:rPr>
          <w:rFonts w:ascii="Arial" w:hAnsi="Arial" w:cs="Arial"/>
          <w:szCs w:val="22"/>
        </w:rPr>
        <w:t>datového centra IT4Innovations (</w:t>
      </w:r>
      <w:r>
        <w:rPr>
          <w:rFonts w:ascii="Arial" w:hAnsi="Arial" w:cs="Arial"/>
        </w:rPr>
        <w:t>dále jen datové centrum, DC</w:t>
      </w:r>
      <w:r>
        <w:rPr>
          <w:rFonts w:ascii="Arial" w:hAnsi="Arial" w:cs="Arial"/>
          <w:szCs w:val="22"/>
        </w:rPr>
        <w:t>).</w:t>
      </w:r>
    </w:p>
    <w:p w:rsidR="004A6A91" w:rsidRDefault="004A6A91">
      <w:pPr>
        <w:pStyle w:val="Odstavecseseznamem"/>
        <w:rPr>
          <w:rFonts w:ascii="Arial" w:hAnsi="Arial" w:cs="Arial"/>
          <w:szCs w:val="22"/>
        </w:rPr>
      </w:pPr>
    </w:p>
    <w:p w:rsidR="004A6A91" w:rsidRDefault="004F472D">
      <w:pPr>
        <w:pStyle w:val="Odstavecseseznamem"/>
        <w:numPr>
          <w:ilvl w:val="0"/>
          <w:numId w:val="5"/>
        </w:numPr>
        <w:rPr>
          <w:rFonts w:ascii="Arial" w:hAnsi="Arial" w:cs="Arial"/>
          <w:szCs w:val="22"/>
        </w:rPr>
      </w:pPr>
      <w:r>
        <w:rPr>
          <w:rFonts w:ascii="Arial" w:hAnsi="Arial" w:cs="Arial"/>
        </w:rPr>
        <w:t>Dodávka musí obsahovat infrastrukturu pro instalaci a provoz dodávaných systémů v datovém centru, tj. racky a příslušenství potřebné pro umístění zařízení do datového centra</w:t>
      </w:r>
      <w:bookmarkStart w:id="1" w:name="_Hlk166833055"/>
      <w:r>
        <w:rPr>
          <w:rFonts w:ascii="Arial" w:hAnsi="Arial" w:cs="Arial"/>
        </w:rPr>
        <w:t>.</w:t>
      </w:r>
      <w:bookmarkEnd w:id="1"/>
    </w:p>
    <w:p w:rsidR="004A6A91" w:rsidRDefault="004A6A91">
      <w:pPr>
        <w:rPr>
          <w:rFonts w:ascii="Arial" w:hAnsi="Arial" w:cs="Arial"/>
          <w:szCs w:val="22"/>
        </w:rPr>
      </w:pPr>
    </w:p>
    <w:p w:rsidR="004A6A91" w:rsidRDefault="004F472D">
      <w:pPr>
        <w:pStyle w:val="Odstavecseseznamem"/>
        <w:numPr>
          <w:ilvl w:val="0"/>
          <w:numId w:val="5"/>
        </w:numPr>
        <w:rPr>
          <w:rFonts w:ascii="Arial" w:hAnsi="Arial" w:cs="Arial"/>
        </w:rPr>
      </w:pPr>
      <w:r>
        <w:rPr>
          <w:rFonts w:ascii="Arial" w:hAnsi="Arial" w:cs="Arial"/>
        </w:rPr>
        <w:t>Integrace systémů do datového centra bude provedena dle platné legislativy a dle požadavků a doporučení výrobců jednotlivých systémů. Pro instalované systémy musí být provedeny revize požadované platnou legislativou. Revizní zprávy musí být předané zadavateli před předáním do zkušebního provozu.</w:t>
      </w:r>
    </w:p>
    <w:p w:rsidR="004A6A91" w:rsidRDefault="004A6A91">
      <w:pPr>
        <w:pStyle w:val="Odstavecseseznamem"/>
        <w:ind w:left="720"/>
        <w:rPr>
          <w:rFonts w:ascii="Arial" w:hAnsi="Arial" w:cs="Arial"/>
          <w:szCs w:val="22"/>
        </w:rPr>
      </w:pPr>
    </w:p>
    <w:p w:rsidR="004A6A91" w:rsidRDefault="004F472D">
      <w:pPr>
        <w:pStyle w:val="Odstavecseseznamem"/>
        <w:numPr>
          <w:ilvl w:val="0"/>
          <w:numId w:val="5"/>
        </w:numPr>
        <w:rPr>
          <w:rFonts w:ascii="Arial" w:hAnsi="Arial" w:cs="Arial"/>
          <w:szCs w:val="22"/>
        </w:rPr>
      </w:pPr>
      <w:r>
        <w:rPr>
          <w:rFonts w:ascii="Arial" w:hAnsi="Arial" w:cs="Arial"/>
          <w:szCs w:val="22"/>
        </w:rPr>
        <w:t>Dodavatel je povinen respektovat infrastrukturu datového centra a její provozní parametry. Infrastruktura datového centra je popsána v kapitole 2 </w:t>
      </w:r>
      <w:r>
        <w:rPr>
          <w:rFonts w:ascii="Arial" w:hAnsi="Arial" w:cs="Arial"/>
          <w:szCs w:val="22"/>
        </w:rPr>
        <w:fldChar w:fldCharType="begin"/>
      </w:r>
      <w:r>
        <w:rPr>
          <w:rFonts w:ascii="Arial" w:hAnsi="Arial" w:cs="Arial"/>
          <w:szCs w:val="22"/>
        </w:rPr>
        <w:instrText xml:space="preserve"> REF _Ref371408678 \h </w:instrText>
      </w:r>
      <w:r>
        <w:rPr>
          <w:rFonts w:ascii="Arial" w:hAnsi="Arial" w:cs="Arial"/>
          <w:szCs w:val="22"/>
        </w:rPr>
      </w:r>
      <w:r>
        <w:rPr>
          <w:rFonts w:ascii="Arial" w:hAnsi="Arial" w:cs="Arial"/>
          <w:szCs w:val="22"/>
        </w:rPr>
        <w:fldChar w:fldCharType="separate"/>
      </w:r>
      <w:r>
        <w:rPr>
          <w:rFonts w:ascii="Arial" w:hAnsi="Arial" w:cs="Arial"/>
          <w:szCs w:val="22"/>
        </w:rPr>
        <w:t>Infrastruktura zadavatele</w:t>
      </w:r>
      <w:r>
        <w:rPr>
          <w:rFonts w:ascii="Arial" w:hAnsi="Arial" w:cs="Arial"/>
          <w:szCs w:val="22"/>
        </w:rPr>
        <w:fldChar w:fldCharType="end"/>
      </w:r>
      <w:r>
        <w:rPr>
          <w:rFonts w:ascii="Arial" w:hAnsi="Arial" w:cs="Arial"/>
          <w:szCs w:val="22"/>
        </w:rPr>
        <w:t>.</w:t>
      </w:r>
      <w:r>
        <w:rPr>
          <w:rFonts w:ascii="Arial" w:hAnsi="Arial" w:cs="Arial"/>
          <w:szCs w:val="22"/>
        </w:rPr>
        <w:br/>
        <w:t>Nabídka nesmí používat či předpokládat parametry infrastruktury datového centra, které se liší od těch, které zadavatel specifikoval v této zadávací dokumentaci.</w:t>
      </w:r>
    </w:p>
    <w:p w:rsidR="004A6A91" w:rsidRDefault="004A6A91">
      <w:pPr>
        <w:pStyle w:val="Odstavecseseznamem"/>
        <w:ind w:left="720"/>
        <w:rPr>
          <w:rFonts w:ascii="Arial" w:hAnsi="Arial" w:cs="Arial"/>
          <w:szCs w:val="22"/>
        </w:rPr>
      </w:pPr>
    </w:p>
    <w:p w:rsidR="004A6A91" w:rsidRDefault="004F472D">
      <w:pPr>
        <w:pStyle w:val="Odstavecseseznamem"/>
        <w:numPr>
          <w:ilvl w:val="0"/>
          <w:numId w:val="5"/>
        </w:numPr>
        <w:rPr>
          <w:rFonts w:ascii="Arial" w:hAnsi="Arial" w:cs="Arial"/>
          <w:szCs w:val="22"/>
        </w:rPr>
      </w:pPr>
      <w:bookmarkStart w:id="2" w:name="_Ref8149344"/>
      <w:r>
        <w:rPr>
          <w:rFonts w:ascii="Arial" w:hAnsi="Arial" w:cs="Arial"/>
          <w:szCs w:val="22"/>
        </w:rPr>
        <w:t>Veškeré dodávky a činnosti řešení i</w:t>
      </w:r>
      <w:r>
        <w:rPr>
          <w:rFonts w:ascii="Arial" w:hAnsi="Arial" w:cs="Arial"/>
        </w:rPr>
        <w:t xml:space="preserve">ntegrace do datového centra přesahující rozsah explicitně popsaný v této příloze </w:t>
      </w:r>
      <w:r>
        <w:rPr>
          <w:rFonts w:ascii="Arial" w:hAnsi="Arial" w:cs="Arial"/>
          <w:szCs w:val="22"/>
        </w:rPr>
        <w:t xml:space="preserve">musí být projednány se provozovatelem </w:t>
      </w:r>
      <w:r>
        <w:rPr>
          <w:rFonts w:ascii="Arial" w:hAnsi="Arial" w:cs="Arial"/>
        </w:rPr>
        <w:t>datového centra</w:t>
      </w:r>
      <w:r>
        <w:rPr>
          <w:rFonts w:ascii="Arial" w:hAnsi="Arial" w:cs="Arial"/>
          <w:szCs w:val="22"/>
        </w:rPr>
        <w:t xml:space="preserve"> a provozovatelem </w:t>
      </w:r>
      <w:r>
        <w:rPr>
          <w:rFonts w:ascii="Arial" w:hAnsi="Arial" w:cs="Arial"/>
        </w:rPr>
        <w:t>datového centra</w:t>
      </w:r>
      <w:r>
        <w:rPr>
          <w:rFonts w:ascii="Arial" w:hAnsi="Arial" w:cs="Arial"/>
          <w:szCs w:val="22"/>
        </w:rPr>
        <w:t xml:space="preserve"> schváleny. Veškeré použití a případné úpravy zařízení či technologií </w:t>
      </w:r>
      <w:r>
        <w:rPr>
          <w:rFonts w:ascii="Arial" w:hAnsi="Arial" w:cs="Arial"/>
        </w:rPr>
        <w:t>datového centra</w:t>
      </w:r>
      <w:r>
        <w:rPr>
          <w:rFonts w:ascii="Arial" w:hAnsi="Arial" w:cs="Arial"/>
          <w:szCs w:val="22"/>
        </w:rPr>
        <w:t xml:space="preserve"> (potřebné pro realizaci integrace do </w:t>
      </w:r>
      <w:r>
        <w:rPr>
          <w:rFonts w:ascii="Arial" w:hAnsi="Arial" w:cs="Arial"/>
        </w:rPr>
        <w:t>datového centra</w:t>
      </w:r>
      <w:r>
        <w:rPr>
          <w:rFonts w:ascii="Arial" w:hAnsi="Arial" w:cs="Arial"/>
          <w:szCs w:val="22"/>
        </w:rPr>
        <w:t xml:space="preserve">) musí být projednány </w:t>
      </w:r>
      <w:r>
        <w:rPr>
          <w:rFonts w:ascii="Arial" w:hAnsi="Arial" w:cs="Arial"/>
        </w:rPr>
        <w:t xml:space="preserve">se zadavatelem a </w:t>
      </w:r>
      <w:r>
        <w:rPr>
          <w:rFonts w:ascii="Arial" w:hAnsi="Arial" w:cs="Arial"/>
          <w:szCs w:val="22"/>
        </w:rPr>
        <w:t>provozovatelem</w:t>
      </w:r>
      <w:r>
        <w:rPr>
          <w:rFonts w:ascii="Arial" w:hAnsi="Arial" w:cs="Arial"/>
        </w:rPr>
        <w:t xml:space="preserve"> datového centra a schváleny zadavatelem a </w:t>
      </w:r>
      <w:r>
        <w:rPr>
          <w:rFonts w:ascii="Arial" w:hAnsi="Arial" w:cs="Arial"/>
          <w:szCs w:val="22"/>
        </w:rPr>
        <w:t>provozovatelem</w:t>
      </w:r>
      <w:r>
        <w:rPr>
          <w:rFonts w:ascii="Arial" w:hAnsi="Arial" w:cs="Arial"/>
        </w:rPr>
        <w:t xml:space="preserve"> datového centra. </w:t>
      </w:r>
      <w:bookmarkEnd w:id="2"/>
    </w:p>
    <w:p w:rsidR="004A6A91" w:rsidRDefault="004F472D">
      <w:pPr>
        <w:pStyle w:val="Nadpis3"/>
      </w:pPr>
      <w:bookmarkStart w:id="3" w:name="_Toc155794225"/>
      <w:r>
        <w:t>Umístění</w:t>
      </w:r>
      <w:bookmarkEnd w:id="3"/>
    </w:p>
    <w:p w:rsidR="004A6A91" w:rsidRDefault="004A6A91">
      <w:pPr>
        <w:pStyle w:val="Odstavecseseznamem"/>
        <w:ind w:left="720"/>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t>Dodané racky budou mít šířku 600 mm, hloubka včetně dveří může být větší než 1200 mm, ale ustavení, (tj. nožičky) se musí vejít na 2 podlahové segmenty, tedy do 1200 mm. Max výška racku bude 42U.</w:t>
      </w:r>
    </w:p>
    <w:p w:rsidR="004A6A91" w:rsidRDefault="004A6A91">
      <w:pPr>
        <w:ind w:left="360"/>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lastRenderedPageBreak/>
        <w:t xml:space="preserve">Racky musí být opatřeny systémem chlazení založeném na principu průtoku chladící kapaliny pomocí speciálních uzavřených </w:t>
      </w:r>
      <w:proofErr w:type="spellStart"/>
      <w:r>
        <w:rPr>
          <w:rFonts w:ascii="Arial" w:hAnsi="Arial" w:cs="Arial"/>
        </w:rPr>
        <w:t>mezirackových</w:t>
      </w:r>
      <w:proofErr w:type="spellEnd"/>
      <w:r>
        <w:rPr>
          <w:rFonts w:ascii="Arial" w:hAnsi="Arial" w:cs="Arial"/>
        </w:rPr>
        <w:t xml:space="preserve"> jednotek, které ochlazují vzduch cirkulovaný uvnitř jimi chlazených racků. Není přípustné řešení používající místo dveří chladící segmenty nebo chlazení umístěné na horní části racku. Dále není přípustné </w:t>
      </w:r>
      <w:proofErr w:type="spellStart"/>
      <w:r>
        <w:rPr>
          <w:rFonts w:ascii="Arial" w:hAnsi="Arial" w:cs="Arial"/>
        </w:rPr>
        <w:t>mezirackové</w:t>
      </w:r>
      <w:proofErr w:type="spellEnd"/>
      <w:r>
        <w:rPr>
          <w:rFonts w:ascii="Arial" w:hAnsi="Arial" w:cs="Arial"/>
        </w:rPr>
        <w:t xml:space="preserve"> chlazení využívající vzduch otevřené teplé uličky a vyfukující vzduch do otevřené studené uličky. Zvolené řešení nesmí bránit přístupu k ICT zařízením uvnitř racku.</w:t>
      </w:r>
    </w:p>
    <w:p w:rsidR="004A6A91" w:rsidRDefault="004A6A91">
      <w:pPr>
        <w:pStyle w:val="Odstavecseseznamem"/>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t xml:space="preserve">Záruční doba dodaných racků včetně dodaných komponent chlazení a napájení bude 7 let. Dodavatel zajistí veškerou údržbu a servis dodaných racků včetně komponent chlazení a napájení během záruční doby. </w:t>
      </w:r>
    </w:p>
    <w:p w:rsidR="004A6A91" w:rsidRDefault="004A6A91">
      <w:pPr>
        <w:pStyle w:val="Odstavecseseznamem"/>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i/>
          <w:iCs/>
        </w:rPr>
        <w:t xml:space="preserve">Stávající instalace zadavatele se nachází zhruba na pozicích racků NRP 1 až NRP 4 (celkem tři racky a mezi nimi </w:t>
      </w:r>
      <w:proofErr w:type="spellStart"/>
      <w:r>
        <w:rPr>
          <w:rFonts w:ascii="Arial" w:hAnsi="Arial" w:cs="Arial"/>
          <w:i/>
          <w:iCs/>
        </w:rPr>
        <w:t>mezirackové</w:t>
      </w:r>
      <w:proofErr w:type="spellEnd"/>
      <w:r>
        <w:rPr>
          <w:rFonts w:ascii="Arial" w:hAnsi="Arial" w:cs="Arial"/>
          <w:i/>
          <w:iCs/>
        </w:rPr>
        <w:t xml:space="preserve"> chladící jednotky), do nichž již není možno přidávat další zařízení. Nově d</w:t>
      </w:r>
      <w:r>
        <w:rPr>
          <w:rFonts w:ascii="Arial" w:hAnsi="Arial" w:cs="Arial"/>
        </w:rPr>
        <w:t xml:space="preserve">odávaná zařízení budou umístěna v pozicích dle následujícího obrázku počínaje pozicí NRP 5. Žádná z řad vymezených pro NRP nesmí překročit délku 540 cm celkem. Čísla pozic označují také pořadí umísťování racků. Umístění může být předmětem změny ze strany zadavatele a </w:t>
      </w:r>
      <w:r>
        <w:rPr>
          <w:rFonts w:ascii="Arial" w:hAnsi="Arial" w:cs="Arial"/>
          <w:szCs w:val="22"/>
        </w:rPr>
        <w:t>provozovatele</w:t>
      </w:r>
      <w:r>
        <w:rPr>
          <w:rFonts w:ascii="Arial" w:hAnsi="Arial" w:cs="Arial"/>
        </w:rPr>
        <w:t xml:space="preserve"> DC.</w:t>
      </w:r>
    </w:p>
    <w:p w:rsidR="004A6A91" w:rsidRDefault="004A6A91">
      <w:pPr>
        <w:keepNext/>
        <w:jc w:val="center"/>
        <w:rPr>
          <w:rFonts w:ascii="Arial" w:hAnsi="Arial" w:cs="Arial"/>
        </w:rPr>
      </w:pPr>
    </w:p>
    <w:p w:rsidR="004A6A91" w:rsidRDefault="004F472D">
      <w:pPr>
        <w:keepNext/>
        <w:jc w:val="center"/>
        <w:rPr>
          <w:rFonts w:ascii="Arial" w:hAnsi="Arial" w:cs="Arial"/>
        </w:rPr>
      </w:pPr>
      <w:r>
        <w:rPr>
          <w:noProof/>
        </w:rPr>
        <w:drawing>
          <wp:inline distT="0" distB="0" distL="0" distR="0">
            <wp:extent cx="5880100" cy="4204970"/>
            <wp:effectExtent l="0" t="0" r="0" b="0"/>
            <wp:docPr id="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print of a building&#10;&#10;Description automatically generated"/>
                    <pic:cNvPicPr>
                      <a:picLocks noChangeAspect="1"/>
                    </pic:cNvPicPr>
                  </pic:nvPicPr>
                  <pic:blipFill>
                    <a:blip r:embed="rId11"/>
                    <a:stretch/>
                  </pic:blipFill>
                  <pic:spPr bwMode="auto">
                    <a:xfrm>
                      <a:off x="0" y="0"/>
                      <a:ext cx="5880100" cy="4204970"/>
                    </a:xfrm>
                    <a:prstGeom prst="rect">
                      <a:avLst/>
                    </a:prstGeom>
                  </pic:spPr>
                </pic:pic>
              </a:graphicData>
            </a:graphic>
          </wp:inline>
        </w:drawing>
      </w:r>
    </w:p>
    <w:p w:rsidR="004A6A91" w:rsidRDefault="004A6A91">
      <w:pPr>
        <w:keepNext/>
        <w:jc w:val="center"/>
        <w:rPr>
          <w:rFonts w:ascii="Arial" w:hAnsi="Arial" w:cs="Arial"/>
        </w:rPr>
      </w:pPr>
    </w:p>
    <w:p w:rsidR="004A6A91" w:rsidRDefault="004F472D">
      <w:pPr>
        <w:pStyle w:val="Titulek"/>
        <w:jc w:val="center"/>
        <w:rPr>
          <w:rFonts w:ascii="Arial" w:hAnsi="Arial" w:cs="Arial"/>
        </w:rPr>
      </w:pPr>
      <w:bookmarkStart w:id="4" w:name="_Ref5192239"/>
      <w:r>
        <w:rPr>
          <w:rFonts w:ascii="Arial" w:hAnsi="Arial" w:cs="Arial"/>
        </w:rPr>
        <w:t>Obr. 1 Umístění NRP úložiště</w:t>
      </w:r>
      <w:bookmarkEnd w:id="4"/>
    </w:p>
    <w:p w:rsidR="004A6A91" w:rsidRDefault="004A6A91">
      <w:pPr>
        <w:pStyle w:val="Odstavecseseznamem"/>
        <w:ind w:left="720"/>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t xml:space="preserve">Umístění </w:t>
      </w:r>
      <w:r>
        <w:rPr>
          <w:rFonts w:ascii="Arial" w:hAnsi="Arial" w:cs="Arial"/>
          <w:szCs w:val="22"/>
        </w:rPr>
        <w:t>veškerého</w:t>
      </w:r>
      <w:r>
        <w:rPr>
          <w:rFonts w:ascii="Arial" w:hAnsi="Arial" w:cs="Arial"/>
        </w:rPr>
        <w:t xml:space="preserve"> instalovaného zařízení dodaného řešení nesmí omezit možnosti revizních zásahů na elektroinstalaci, chladících rozvodech, vzduchotechnice, bezpečnostních (čidla apod.) a jiných systémech v prostoru datového sálu </w:t>
      </w:r>
      <w:r>
        <w:rPr>
          <w:rFonts w:ascii="Arial" w:hAnsi="Arial" w:cs="Arial"/>
          <w:szCs w:val="22"/>
        </w:rPr>
        <w:t>provozovatele</w:t>
      </w:r>
      <w:r>
        <w:rPr>
          <w:rFonts w:ascii="Arial" w:hAnsi="Arial" w:cs="Arial"/>
        </w:rPr>
        <w:t>.</w:t>
      </w:r>
    </w:p>
    <w:p w:rsidR="004A6A91" w:rsidRDefault="004A6A91">
      <w:pPr>
        <w:pStyle w:val="Odstavecseseznamem"/>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lastRenderedPageBreak/>
        <w:t>Veškerá zařízení včetně kabeláže musí být jednoznačně identifikována, tj. označena popiskami tak, aby byla identifikovatelná příslušnost zařízení v rámci jednotlivých logických celků systému. U kabeláže musí její popis jednoznačně určovat propojené body.</w:t>
      </w:r>
    </w:p>
    <w:p w:rsidR="004A6A91" w:rsidRDefault="004A6A91">
      <w:pPr>
        <w:pStyle w:val="Odstavecseseznamem"/>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t>Postavení racků na podlaze datového sálu musí být stabilní a bezpečné, hmotnost racků musí být vhodně rozložena. Musí být respektována konstrukce a únosnost podlahy (</w:t>
      </w:r>
      <w:r>
        <w:rPr>
          <w:rFonts w:ascii="Arial" w:hAnsi="Arial" w:cs="Arial"/>
          <w:szCs w:val="22"/>
        </w:rPr>
        <w:t>25kN/m2</w:t>
      </w:r>
      <w:r>
        <w:rPr>
          <w:rFonts w:ascii="Arial" w:hAnsi="Arial" w:cs="Arial"/>
        </w:rPr>
        <w:t xml:space="preserve">). V případě, že by </w:t>
      </w:r>
      <w:proofErr w:type="spellStart"/>
      <w:r>
        <w:rPr>
          <w:rFonts w:ascii="Arial" w:hAnsi="Arial" w:cs="Arial"/>
        </w:rPr>
        <w:t>rack</w:t>
      </w:r>
      <w:proofErr w:type="spellEnd"/>
      <w:r>
        <w:rPr>
          <w:rFonts w:ascii="Arial" w:hAnsi="Arial" w:cs="Arial"/>
        </w:rPr>
        <w:t xml:space="preserve"> působil zátěž bodově nebo na malou plochu, musí být použit roznášecí rám. Úpravy podlahových dlaždic (prostupy do prostoru zdvojené podlahy) dodavatel zajistí na své náklady po předchozí dohodě a odsouhlasení se zadavatelem a provozovatelem sálu.  </w:t>
      </w:r>
    </w:p>
    <w:p w:rsidR="004A6A91" w:rsidRDefault="004A6A91">
      <w:pPr>
        <w:pStyle w:val="Odstavecseseznamem"/>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t xml:space="preserve">Provedení kabeláže (uvnitř i vně racků) musí zajišťovat spolehlivé připojení, umožňovat manipulaci se zařízeními (vysunutí/zasunutí např. při servisu zařízení) a bránit poškození kabelů při manipulaci. Síťová kabeláž bude vedena v maximální možné míře uvnitř racků, případně, pokud je nezbytné, po střechách racků. Kabeláž musí být z pohledové strany racků, tzn. z obou stran racků, skryta. Kabeláž může být vedená položením na střechách racků pouze v rámci jedné řady racků. Mezi řadami racků nesmí být kabeláž vedena lávkou, ale výhradně prostorem stropního podhledu datového sálu. </w:t>
      </w:r>
      <w:bookmarkStart w:id="5" w:name="_Hlk166833534"/>
      <w:r>
        <w:rPr>
          <w:rFonts w:ascii="Arial" w:hAnsi="Arial" w:cs="Arial"/>
        </w:rPr>
        <w:t xml:space="preserve">Úpravy stropnic pro protažení kabeláže dodavatel zajistí na své náklady po předchozí dohodě a odsouhlasení se zadavatelem a provozovatelem sálu.  </w:t>
      </w:r>
    </w:p>
    <w:bookmarkEnd w:id="5"/>
    <w:p w:rsidR="004A6A91" w:rsidRDefault="004A6A91">
      <w:pPr>
        <w:pStyle w:val="Odstavecseseznamem"/>
        <w:rPr>
          <w:rFonts w:ascii="Arial" w:hAnsi="Arial" w:cs="Arial"/>
        </w:rPr>
      </w:pPr>
    </w:p>
    <w:p w:rsidR="004A6A91" w:rsidRDefault="004F472D">
      <w:pPr>
        <w:pStyle w:val="Odstavecseseznamem"/>
        <w:ind w:left="720"/>
        <w:rPr>
          <w:rFonts w:ascii="Arial" w:hAnsi="Arial" w:cs="Arial"/>
        </w:rPr>
      </w:pPr>
      <w:r>
        <w:rPr>
          <w:noProof/>
        </w:rPr>
        <w:drawing>
          <wp:inline distT="0" distB="0" distL="0" distR="0">
            <wp:extent cx="5760720" cy="4085590"/>
            <wp:effectExtent l="0" t="0" r="0" b="0"/>
            <wp:docPr id="2" name="Image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blueprint of a building&#10;&#10;Description automatically generated"/>
                    <pic:cNvPicPr>
                      <a:picLocks noChangeAspect="1"/>
                    </pic:cNvPicPr>
                  </pic:nvPicPr>
                  <pic:blipFill>
                    <a:blip r:embed="rId12"/>
                    <a:stretch/>
                  </pic:blipFill>
                  <pic:spPr bwMode="auto">
                    <a:xfrm>
                      <a:off x="0" y="0"/>
                      <a:ext cx="5760720" cy="4085590"/>
                    </a:xfrm>
                    <a:prstGeom prst="rect">
                      <a:avLst/>
                    </a:prstGeom>
                  </pic:spPr>
                </pic:pic>
              </a:graphicData>
            </a:graphic>
          </wp:inline>
        </w:drawing>
      </w:r>
    </w:p>
    <w:p w:rsidR="004A6A91" w:rsidRDefault="004F472D">
      <w:pPr>
        <w:pStyle w:val="Titulek"/>
        <w:jc w:val="center"/>
        <w:rPr>
          <w:rFonts w:ascii="Arial" w:hAnsi="Arial" w:cs="Arial"/>
        </w:rPr>
      </w:pPr>
      <w:r>
        <w:rPr>
          <w:rFonts w:ascii="Arial" w:hAnsi="Arial" w:cs="Arial"/>
        </w:rPr>
        <w:t xml:space="preserve">Obr. 2 Kabelové žlaby </w:t>
      </w:r>
    </w:p>
    <w:p w:rsidR="004A6A91" w:rsidRDefault="004A6A91">
      <w:pPr>
        <w:pStyle w:val="Odstavecseseznamem"/>
        <w:ind w:left="720"/>
        <w:rPr>
          <w:rFonts w:ascii="Arial" w:hAnsi="Arial" w:cs="Arial"/>
        </w:rPr>
      </w:pPr>
    </w:p>
    <w:p w:rsidR="004A6A91" w:rsidRDefault="004F472D">
      <w:pPr>
        <w:pStyle w:val="Odstavecseseznamem"/>
        <w:numPr>
          <w:ilvl w:val="0"/>
          <w:numId w:val="5"/>
        </w:numPr>
        <w:rPr>
          <w:rFonts w:ascii="Arial" w:hAnsi="Arial" w:cs="Arial"/>
        </w:rPr>
      </w:pPr>
      <w:r>
        <w:rPr>
          <w:rFonts w:ascii="Arial" w:hAnsi="Arial" w:cs="Arial"/>
        </w:rPr>
        <w:t>Přesnou orientaci racků dodavatel dohodne se zadavatelem a provozovatelem sálu před začátkem realizace.</w:t>
      </w:r>
    </w:p>
    <w:p w:rsidR="004A6A91" w:rsidRDefault="004F472D">
      <w:pPr>
        <w:pStyle w:val="Odstavecseseznamem"/>
        <w:spacing w:before="120"/>
        <w:ind w:left="720"/>
        <w:rPr>
          <w:rFonts w:ascii="Arial" w:hAnsi="Arial" w:cs="Arial"/>
          <w:bCs/>
          <w:color w:val="FF0000"/>
          <w:szCs w:val="22"/>
        </w:rPr>
      </w:pPr>
      <w:r>
        <w:rPr>
          <w:rFonts w:ascii="Arial" w:hAnsi="Arial" w:cs="Arial"/>
          <w:bCs/>
          <w:color w:val="FF0000"/>
          <w:szCs w:val="22"/>
        </w:rPr>
        <w:lastRenderedPageBreak/>
        <w:t>Dodavatel v nabídce předloží předběžné schéma umístění zařízení dodávky v datovém sálu datového centra provozovatele, počet racků, jejich rozměry a layout zařízení v rámci racků.</w:t>
      </w:r>
    </w:p>
    <w:p w:rsidR="004A6A91" w:rsidRDefault="004A6A91">
      <w:pPr>
        <w:pStyle w:val="Odstavecseseznamem"/>
        <w:ind w:left="720"/>
        <w:rPr>
          <w:rFonts w:ascii="Arial" w:hAnsi="Arial" w:cs="Arial"/>
          <w:color w:val="FF0000"/>
          <w:szCs w:val="22"/>
        </w:rPr>
      </w:pPr>
    </w:p>
    <w:p w:rsidR="004A6A91" w:rsidRDefault="004F472D">
      <w:pPr>
        <w:pStyle w:val="Nadpis3"/>
      </w:pPr>
      <w:bookmarkStart w:id="6" w:name="_Toc155794226"/>
      <w:r>
        <w:t>Napájení</w:t>
      </w:r>
      <w:bookmarkEnd w:id="6"/>
    </w:p>
    <w:p w:rsidR="004A6A91" w:rsidRDefault="004A6A91">
      <w:pPr>
        <w:pStyle w:val="Odstavecseseznamem"/>
        <w:ind w:left="720"/>
        <w:rPr>
          <w:rFonts w:ascii="Arial" w:hAnsi="Arial" w:cs="Arial"/>
          <w:szCs w:val="22"/>
        </w:rPr>
      </w:pPr>
    </w:p>
    <w:p w:rsidR="004A6A91" w:rsidRDefault="004F472D">
      <w:pPr>
        <w:pStyle w:val="Odstavecseseznamem"/>
        <w:numPr>
          <w:ilvl w:val="0"/>
          <w:numId w:val="5"/>
        </w:numPr>
        <w:rPr>
          <w:rFonts w:ascii="Arial" w:hAnsi="Arial" w:cs="Arial"/>
          <w:szCs w:val="22"/>
        </w:rPr>
      </w:pPr>
      <w:r>
        <w:rPr>
          <w:rFonts w:ascii="Arial" w:hAnsi="Arial" w:cs="Arial"/>
        </w:rPr>
        <w:t>NRP úložiště</w:t>
      </w:r>
      <w:r>
        <w:rPr>
          <w:rFonts w:ascii="Arial" w:hAnsi="Arial" w:cs="Arial"/>
          <w:szCs w:val="22"/>
        </w:rPr>
        <w:t xml:space="preserve"> bude současně napájeno z nezávislých napájecích větví datového centra (A </w:t>
      </w:r>
      <w:proofErr w:type="spellStart"/>
      <w:r>
        <w:rPr>
          <w:rFonts w:ascii="Arial" w:hAnsi="Arial" w:cs="Arial"/>
          <w:szCs w:val="22"/>
        </w:rPr>
        <w:t>a</w:t>
      </w:r>
      <w:proofErr w:type="spellEnd"/>
      <w:r>
        <w:rPr>
          <w:rFonts w:ascii="Arial" w:hAnsi="Arial" w:cs="Arial"/>
          <w:szCs w:val="22"/>
        </w:rPr>
        <w:t xml:space="preserve"> B). Pod každou řadou racků jsou k dispozici 2 páry PDB boxů umístěných na rozvodných busech vyznačených fialovými čarami v obrázku. </w:t>
      </w:r>
      <w:r>
        <w:rPr>
          <w:rFonts w:ascii="Arial" w:hAnsi="Arial" w:cs="Arial"/>
        </w:rPr>
        <w:t>Datové centrum dodavateli poskytne přípojná místa vybavená v konfiguraci 3f/</w:t>
      </w:r>
      <w:proofErr w:type="gramStart"/>
      <w:r>
        <w:rPr>
          <w:rFonts w:ascii="Arial" w:hAnsi="Arial" w:cs="Arial"/>
        </w:rPr>
        <w:t>32A</w:t>
      </w:r>
      <w:proofErr w:type="gramEnd"/>
      <w:r>
        <w:rPr>
          <w:rFonts w:ascii="Arial" w:hAnsi="Arial" w:cs="Arial"/>
        </w:rPr>
        <w:t xml:space="preserve"> a osazená koncovkami PKY32G435. </w:t>
      </w:r>
      <w:r>
        <w:rPr>
          <w:rFonts w:ascii="Arial" w:hAnsi="Arial" w:cs="Arial"/>
          <w:szCs w:val="22"/>
        </w:rPr>
        <w:t xml:space="preserve">V případě potřeby rozdělení na 1f musí být toto realizovatelné v prostoru pod podlahou a s využitím </w:t>
      </w:r>
      <w:proofErr w:type="spellStart"/>
      <w:r>
        <w:rPr>
          <w:rFonts w:ascii="Arial" w:hAnsi="Arial" w:cs="Arial"/>
          <w:szCs w:val="22"/>
        </w:rPr>
        <w:t>splitter</w:t>
      </w:r>
      <w:proofErr w:type="spellEnd"/>
      <w:r>
        <w:rPr>
          <w:rFonts w:ascii="Arial" w:hAnsi="Arial" w:cs="Arial"/>
          <w:szCs w:val="22"/>
        </w:rPr>
        <w:t xml:space="preserve"> boxů osazených samostatnými jističi pro jednotlivé fáze a dodaných dodavatelem včetně kabeláže.</w:t>
      </w:r>
    </w:p>
    <w:p w:rsidR="004A6A91" w:rsidRDefault="004A6A91">
      <w:pPr>
        <w:rPr>
          <w:rFonts w:ascii="Arial" w:hAnsi="Arial" w:cs="Arial"/>
          <w:szCs w:val="22"/>
        </w:rPr>
      </w:pPr>
    </w:p>
    <w:p w:rsidR="004A6A91" w:rsidRDefault="004F472D">
      <w:pPr>
        <w:pStyle w:val="Odstavecseseznamem"/>
        <w:numPr>
          <w:ilvl w:val="0"/>
          <w:numId w:val="5"/>
        </w:numPr>
        <w:rPr>
          <w:rFonts w:ascii="Arial" w:hAnsi="Arial" w:cs="Arial"/>
        </w:rPr>
      </w:pPr>
      <w:r>
        <w:rPr>
          <w:rFonts w:ascii="Arial" w:hAnsi="Arial" w:cs="Arial"/>
        </w:rPr>
        <w:t>Výpadek či odstávka napájecího okruhu nebo napájecí větve nesmí způsobit poškození žádného zařízení a nesmí způsobit ohrožení zdraví osob či majetku.</w:t>
      </w:r>
    </w:p>
    <w:p w:rsidR="004A6A91" w:rsidRDefault="004A6A91">
      <w:pPr>
        <w:pStyle w:val="Odstavecseseznamem"/>
        <w:ind w:left="720"/>
        <w:rPr>
          <w:rFonts w:ascii="Arial" w:hAnsi="Arial" w:cs="Arial"/>
        </w:rPr>
      </w:pPr>
    </w:p>
    <w:p w:rsidR="004A6A91" w:rsidRDefault="004F472D">
      <w:pPr>
        <w:pStyle w:val="Odstavecseseznamem"/>
        <w:numPr>
          <w:ilvl w:val="0"/>
          <w:numId w:val="5"/>
        </w:numPr>
        <w:rPr>
          <w:rFonts w:ascii="Arial" w:hAnsi="Arial" w:cs="Arial"/>
          <w:szCs w:val="22"/>
        </w:rPr>
      </w:pPr>
      <w:r>
        <w:rPr>
          <w:rFonts w:ascii="Arial" w:hAnsi="Arial" w:cs="Arial"/>
          <w:szCs w:val="22"/>
        </w:rPr>
        <w:t xml:space="preserve">Systémy </w:t>
      </w:r>
      <w:r>
        <w:rPr>
          <w:rFonts w:ascii="Arial" w:hAnsi="Arial" w:cs="Arial"/>
        </w:rPr>
        <w:t>NRP úložiště</w:t>
      </w:r>
      <w:r>
        <w:rPr>
          <w:rFonts w:ascii="Arial" w:hAnsi="Arial" w:cs="Arial"/>
          <w:szCs w:val="22"/>
        </w:rPr>
        <w:t xml:space="preserve"> musí rovnoměrně zatěžovat </w:t>
      </w:r>
      <w:r>
        <w:rPr>
          <w:rFonts w:ascii="Arial" w:hAnsi="Arial" w:cs="Arial"/>
        </w:rPr>
        <w:t xml:space="preserve">napájecí větve a jednotlivé </w:t>
      </w:r>
      <w:r>
        <w:rPr>
          <w:rFonts w:ascii="Arial" w:hAnsi="Arial" w:cs="Arial"/>
          <w:szCs w:val="22"/>
        </w:rPr>
        <w:t>fáze elektrického napájení.</w:t>
      </w:r>
    </w:p>
    <w:p w:rsidR="004A6A91" w:rsidRDefault="004A6A91">
      <w:pPr>
        <w:rPr>
          <w:rFonts w:ascii="Arial" w:hAnsi="Arial" w:cs="Arial"/>
          <w:szCs w:val="22"/>
        </w:rPr>
      </w:pPr>
    </w:p>
    <w:p w:rsidR="004A6A91" w:rsidRDefault="004F472D">
      <w:pPr>
        <w:pStyle w:val="Odstavecseseznamem"/>
        <w:numPr>
          <w:ilvl w:val="0"/>
          <w:numId w:val="5"/>
        </w:numPr>
        <w:rPr>
          <w:rFonts w:ascii="Arial" w:hAnsi="Arial" w:cs="Arial"/>
          <w:szCs w:val="22"/>
        </w:rPr>
      </w:pPr>
      <w:r>
        <w:rPr>
          <w:rFonts w:ascii="Arial" w:hAnsi="Arial" w:cs="Arial"/>
          <w:szCs w:val="22"/>
        </w:rPr>
        <w:t xml:space="preserve">Navrhované řešení musí počítat s maximálním provozním příkonem 7 kW na </w:t>
      </w:r>
      <w:proofErr w:type="gramStart"/>
      <w:r>
        <w:rPr>
          <w:rFonts w:ascii="Arial" w:hAnsi="Arial" w:cs="Arial"/>
          <w:szCs w:val="22"/>
        </w:rPr>
        <w:t>1F</w:t>
      </w:r>
      <w:proofErr w:type="gramEnd"/>
      <w:r>
        <w:rPr>
          <w:rFonts w:ascii="Arial" w:hAnsi="Arial" w:cs="Arial"/>
          <w:szCs w:val="22"/>
        </w:rPr>
        <w:t xml:space="preserve">. </w:t>
      </w:r>
    </w:p>
    <w:p w:rsidR="004A6A91" w:rsidRDefault="004F472D">
      <w:pPr>
        <w:pStyle w:val="Odstavecseseznamem"/>
        <w:spacing w:before="120"/>
        <w:ind w:left="720"/>
        <w:rPr>
          <w:rFonts w:ascii="Arial" w:hAnsi="Arial" w:cs="Arial"/>
          <w:bCs/>
          <w:color w:val="FF0000"/>
          <w:szCs w:val="22"/>
        </w:rPr>
      </w:pPr>
      <w:r>
        <w:rPr>
          <w:rFonts w:ascii="Arial" w:hAnsi="Arial" w:cs="Arial"/>
          <w:bCs/>
          <w:color w:val="FF0000"/>
          <w:szCs w:val="22"/>
        </w:rPr>
        <w:t>Dodavatel musí v nabídce uvést energetickou kalkulaci. Energetická kalkulace bude obsahovat:</w:t>
      </w:r>
    </w:p>
    <w:p w:rsidR="004A6A91" w:rsidRDefault="004F472D">
      <w:pPr>
        <w:pStyle w:val="Odstavecseseznamem"/>
        <w:numPr>
          <w:ilvl w:val="0"/>
          <w:numId w:val="3"/>
        </w:numPr>
        <w:ind w:left="1276"/>
        <w:rPr>
          <w:rFonts w:ascii="Arial" w:hAnsi="Arial" w:cs="Arial"/>
          <w:bCs/>
          <w:color w:val="FF0000"/>
          <w:szCs w:val="22"/>
        </w:rPr>
      </w:pPr>
      <w:r>
        <w:rPr>
          <w:rFonts w:ascii="Arial" w:hAnsi="Arial" w:cs="Arial"/>
          <w:bCs/>
          <w:color w:val="FF0000"/>
          <w:szCs w:val="22"/>
        </w:rPr>
        <w:t>maximální elektrický příkon celého řešení,</w:t>
      </w:r>
    </w:p>
    <w:p w:rsidR="004A6A91" w:rsidRDefault="004F472D">
      <w:pPr>
        <w:pStyle w:val="Odstavecseseznamem"/>
        <w:numPr>
          <w:ilvl w:val="0"/>
          <w:numId w:val="3"/>
        </w:numPr>
        <w:ind w:left="1276"/>
        <w:rPr>
          <w:rFonts w:ascii="Arial" w:hAnsi="Arial" w:cs="Arial"/>
          <w:color w:val="FF0000"/>
          <w:szCs w:val="22"/>
        </w:rPr>
      </w:pPr>
      <w:r>
        <w:rPr>
          <w:rFonts w:ascii="Arial" w:hAnsi="Arial" w:cs="Arial"/>
          <w:bCs/>
          <w:color w:val="FF0000"/>
          <w:szCs w:val="22"/>
        </w:rPr>
        <w:t xml:space="preserve">elektrický příkon pro každý osazený </w:t>
      </w:r>
      <w:proofErr w:type="spellStart"/>
      <w:r>
        <w:rPr>
          <w:rFonts w:ascii="Arial" w:hAnsi="Arial" w:cs="Arial"/>
          <w:bCs/>
          <w:color w:val="FF0000"/>
          <w:szCs w:val="22"/>
        </w:rPr>
        <w:t>rack</w:t>
      </w:r>
      <w:proofErr w:type="spellEnd"/>
      <w:r>
        <w:rPr>
          <w:rFonts w:ascii="Arial" w:hAnsi="Arial" w:cs="Arial"/>
          <w:bCs/>
          <w:color w:val="FF0000"/>
          <w:szCs w:val="22"/>
        </w:rPr>
        <w:t xml:space="preserve"> či PDU.</w:t>
      </w:r>
    </w:p>
    <w:p w:rsidR="004A6A91" w:rsidRDefault="004F472D">
      <w:pPr>
        <w:pStyle w:val="Odstavecseseznamem"/>
        <w:tabs>
          <w:tab w:val="left" w:pos="4029"/>
        </w:tabs>
        <w:ind w:left="720"/>
        <w:rPr>
          <w:rFonts w:ascii="Arial" w:hAnsi="Arial" w:cs="Arial"/>
          <w:szCs w:val="22"/>
        </w:rPr>
      </w:pPr>
      <w:r>
        <w:rPr>
          <w:rFonts w:ascii="Arial" w:hAnsi="Arial" w:cs="Arial"/>
          <w:szCs w:val="22"/>
        </w:rPr>
        <w:tab/>
      </w:r>
    </w:p>
    <w:p w:rsidR="004A6A91" w:rsidRDefault="004F472D">
      <w:pPr>
        <w:pStyle w:val="Nadpis3"/>
      </w:pPr>
      <w:bookmarkStart w:id="7" w:name="_Toc155794227"/>
      <w:r>
        <w:t>Chlazení</w:t>
      </w:r>
      <w:bookmarkEnd w:id="7"/>
    </w:p>
    <w:p w:rsidR="004A6A91" w:rsidRDefault="004F472D">
      <w:pPr>
        <w:pStyle w:val="Odstavecseseznamem"/>
        <w:numPr>
          <w:ilvl w:val="0"/>
          <w:numId w:val="5"/>
        </w:numPr>
        <w:rPr>
          <w:rFonts w:ascii="Arial" w:hAnsi="Arial" w:cs="Arial"/>
          <w:szCs w:val="22"/>
        </w:rPr>
      </w:pPr>
      <w:r>
        <w:rPr>
          <w:rFonts w:ascii="Arial" w:hAnsi="Arial" w:cs="Arial"/>
          <w:szCs w:val="22"/>
        </w:rPr>
        <w:t xml:space="preserve">Maximální průtočné množství chladícího média je stanoveno na 2 l/s na 1 chladící prvek. </w:t>
      </w:r>
    </w:p>
    <w:p w:rsidR="004A6A91" w:rsidRDefault="004F472D">
      <w:pPr>
        <w:pStyle w:val="Odstavecseseznamem"/>
        <w:ind w:left="720"/>
        <w:rPr>
          <w:rFonts w:ascii="Arial" w:hAnsi="Arial" w:cs="Arial"/>
          <w:szCs w:val="22"/>
        </w:rPr>
      </w:pPr>
      <w:r>
        <w:rPr>
          <w:rFonts w:ascii="Arial" w:hAnsi="Arial" w:cs="Arial"/>
          <w:szCs w:val="22"/>
        </w:rPr>
        <w:t>Preferovaná je volba chladících řešení s nejmenší generovanou tlakovou ztrátou.</w:t>
      </w:r>
    </w:p>
    <w:p w:rsidR="004A6A91" w:rsidRDefault="004F472D">
      <w:pPr>
        <w:pStyle w:val="Odstavecseseznamem"/>
        <w:ind w:left="720"/>
        <w:rPr>
          <w:rFonts w:ascii="Arial" w:hAnsi="Arial" w:cs="Arial"/>
          <w:szCs w:val="22"/>
        </w:rPr>
      </w:pPr>
      <w:r>
        <w:rPr>
          <w:rFonts w:ascii="Arial" w:hAnsi="Arial" w:cs="Arial"/>
          <w:szCs w:val="22"/>
        </w:rPr>
        <w:t>Standardní provozní tlak vody (chladícího média) je do 5 barů. Chladící prvek (dveře apod.) musí být dimenzován na provozní tlak alespoň 6 barů.</w:t>
      </w:r>
      <w:r>
        <w:rPr>
          <w:rFonts w:ascii="Arial" w:hAnsi="Arial" w:cs="Arial"/>
          <w:szCs w:val="22"/>
        </w:rPr>
        <w:br/>
        <w:t xml:space="preserve">Na základě vybraného řešení chlazení racků je nutné zadavatele a provozovatele datového centra informovat o konkrétním typu, rozměrech a přesném umístění rozhraní v rámci racku z důvodu zajištění </w:t>
      </w:r>
      <w:bookmarkStart w:id="8" w:name="_Hlk166834103"/>
      <w:r>
        <w:rPr>
          <w:rFonts w:ascii="Arial" w:hAnsi="Arial" w:cs="Arial"/>
          <w:szCs w:val="22"/>
        </w:rPr>
        <w:t>výroby kompatibilních propojovacích hadic</w:t>
      </w:r>
      <w:bookmarkEnd w:id="8"/>
      <w:r>
        <w:rPr>
          <w:rFonts w:ascii="Arial" w:hAnsi="Arial" w:cs="Arial"/>
          <w:szCs w:val="22"/>
        </w:rPr>
        <w:t xml:space="preserve">, </w:t>
      </w:r>
      <w:r>
        <w:rPr>
          <w:rFonts w:ascii="Arial" w:hAnsi="Arial" w:cs="Arial"/>
        </w:rPr>
        <w:t>jejichž výrobu zajistí zadavatel a provozovatel datového centra</w:t>
      </w:r>
      <w:r>
        <w:rPr>
          <w:rFonts w:ascii="Arial" w:hAnsi="Arial" w:cs="Arial"/>
          <w:szCs w:val="22"/>
        </w:rPr>
        <w:t>.</w:t>
      </w:r>
    </w:p>
    <w:p w:rsidR="004A6A91" w:rsidRDefault="004A6A91">
      <w:pPr>
        <w:pStyle w:val="Odstavecseseznamem"/>
        <w:ind w:left="720"/>
        <w:rPr>
          <w:rFonts w:ascii="Arial" w:hAnsi="Arial" w:cs="Arial"/>
          <w:szCs w:val="22"/>
        </w:rPr>
      </w:pPr>
    </w:p>
    <w:p w:rsidR="004A6A91" w:rsidRDefault="004F472D">
      <w:pPr>
        <w:pStyle w:val="Odstavecseseznamem"/>
        <w:numPr>
          <w:ilvl w:val="0"/>
          <w:numId w:val="5"/>
        </w:numPr>
        <w:rPr>
          <w:rFonts w:ascii="Arial" w:hAnsi="Arial" w:cs="Arial"/>
          <w:szCs w:val="22"/>
        </w:rPr>
      </w:pPr>
      <w:r>
        <w:rPr>
          <w:rFonts w:ascii="Arial" w:hAnsi="Arial" w:cs="Arial"/>
          <w:szCs w:val="22"/>
        </w:rPr>
        <w:t xml:space="preserve">Musí být zajištěno dostatečné chlazení veškerých dodaných zařízení a tato zařízení </w:t>
      </w:r>
      <w:r>
        <w:rPr>
          <w:rFonts w:ascii="Arial" w:hAnsi="Arial" w:cs="Arial"/>
        </w:rPr>
        <w:t>musí být teplotně neutrální vůči prostředí sálu.</w:t>
      </w:r>
    </w:p>
    <w:p w:rsidR="004A6A91" w:rsidRDefault="004A6A91">
      <w:pPr>
        <w:pStyle w:val="Odstavecseseznamem"/>
        <w:rPr>
          <w:rFonts w:ascii="Arial" w:hAnsi="Arial" w:cs="Arial"/>
          <w:szCs w:val="22"/>
        </w:rPr>
      </w:pPr>
    </w:p>
    <w:p w:rsidR="004A6A91" w:rsidRDefault="004F472D">
      <w:pPr>
        <w:pStyle w:val="Odstavecseseznamem"/>
        <w:numPr>
          <w:ilvl w:val="0"/>
          <w:numId w:val="5"/>
        </w:numPr>
        <w:rPr>
          <w:rFonts w:ascii="Arial" w:hAnsi="Arial" w:cs="Arial"/>
          <w:szCs w:val="22"/>
        </w:rPr>
      </w:pPr>
      <w:r>
        <w:rPr>
          <w:rFonts w:ascii="Arial" w:hAnsi="Arial" w:cs="Arial"/>
          <w:szCs w:val="22"/>
        </w:rPr>
        <w:t xml:space="preserve">Dodavatel dodá racky, které mohou jako zdroj chladu používat výhradně chladících kapalinových okruhů studené vody o </w:t>
      </w:r>
      <w:r>
        <w:rPr>
          <w:rFonts w:ascii="Arial" w:hAnsi="Arial" w:cs="Arial"/>
        </w:rPr>
        <w:t>vstupní teplotě 10 °C. Chlazení typu DX nebo jejich kombinace nejsou přípustné.</w:t>
      </w:r>
    </w:p>
    <w:p w:rsidR="004A6A91" w:rsidRDefault="004F472D">
      <w:pPr>
        <w:ind w:left="708"/>
        <w:rPr>
          <w:rFonts w:ascii="Arial" w:hAnsi="Arial" w:cs="Arial"/>
          <w:szCs w:val="22"/>
        </w:rPr>
      </w:pPr>
      <w:r>
        <w:rPr>
          <w:rFonts w:ascii="Arial" w:hAnsi="Arial" w:cs="Arial"/>
          <w:szCs w:val="22"/>
        </w:rPr>
        <w:t>Vzduch datového sálu lze jako zdroj chladu (tj. bez jeho následného ochlazení) použít pouze v havarijní situaci, kdy dojde k výpadku primárního zdroje chladu, tedy příslušného chladícího okruhu.</w:t>
      </w:r>
    </w:p>
    <w:p w:rsidR="004A6A91" w:rsidRDefault="004A6A91">
      <w:pPr>
        <w:pStyle w:val="Odstavecseseznamem"/>
        <w:ind w:left="720"/>
        <w:rPr>
          <w:rFonts w:ascii="Arial" w:hAnsi="Arial" w:cs="Arial"/>
          <w:szCs w:val="22"/>
        </w:rPr>
      </w:pPr>
    </w:p>
    <w:p w:rsidR="004A6A91" w:rsidRDefault="004F472D">
      <w:pPr>
        <w:pStyle w:val="Odstavecseseznamem"/>
        <w:numPr>
          <w:ilvl w:val="0"/>
          <w:numId w:val="5"/>
        </w:numPr>
        <w:rPr>
          <w:rFonts w:ascii="Arial" w:hAnsi="Arial" w:cs="Arial"/>
        </w:rPr>
      </w:pPr>
      <w:r>
        <w:rPr>
          <w:rFonts w:ascii="Arial" w:hAnsi="Arial" w:cs="Arial"/>
        </w:rPr>
        <w:t>Výpadek či odstávka chladících okruhů nesmí způsobit poškození žádného zařízení a nesmí způsobit ohrožení zdraví osob či majetku.</w:t>
      </w:r>
    </w:p>
    <w:p w:rsidR="004A6A91" w:rsidRDefault="004F472D">
      <w:pPr>
        <w:pStyle w:val="Odstavecseseznamem"/>
        <w:spacing w:before="120"/>
        <w:ind w:left="720"/>
        <w:rPr>
          <w:rFonts w:ascii="Arial" w:hAnsi="Arial" w:cs="Arial"/>
          <w:bCs/>
          <w:color w:val="FF0000"/>
          <w:szCs w:val="22"/>
        </w:rPr>
      </w:pPr>
      <w:r>
        <w:rPr>
          <w:rFonts w:ascii="Arial" w:hAnsi="Arial" w:cs="Arial"/>
          <w:bCs/>
          <w:color w:val="FF0000"/>
          <w:szCs w:val="22"/>
        </w:rPr>
        <w:t>Dodavatel musí v nabídce uvést řešení chlazení dodávaných technologických celků.</w:t>
      </w:r>
    </w:p>
    <w:p w:rsidR="004A6A91" w:rsidRDefault="004A6A91">
      <w:pPr>
        <w:pStyle w:val="Odstavecseseznamem"/>
        <w:ind w:left="720"/>
        <w:rPr>
          <w:rFonts w:ascii="Arial" w:hAnsi="Arial" w:cs="Arial"/>
          <w:szCs w:val="22"/>
        </w:rPr>
      </w:pPr>
    </w:p>
    <w:p w:rsidR="004A6A91" w:rsidRDefault="004F472D">
      <w:pPr>
        <w:pStyle w:val="Nadpis3"/>
      </w:pPr>
      <w:bookmarkStart w:id="9" w:name="_Toc155794228"/>
      <w:r>
        <w:lastRenderedPageBreak/>
        <w:t>Transport</w:t>
      </w:r>
      <w:bookmarkEnd w:id="9"/>
    </w:p>
    <w:p w:rsidR="004A6A91" w:rsidRDefault="004F472D">
      <w:pPr>
        <w:pStyle w:val="Odstavecseseznamem"/>
        <w:numPr>
          <w:ilvl w:val="0"/>
          <w:numId w:val="5"/>
        </w:numPr>
        <w:spacing w:before="60" w:after="60"/>
        <w:ind w:right="284"/>
        <w:rPr>
          <w:rFonts w:ascii="Arial" w:hAnsi="Arial" w:cs="Arial"/>
          <w:szCs w:val="22"/>
        </w:rPr>
      </w:pPr>
      <w:r>
        <w:rPr>
          <w:rFonts w:ascii="Arial" w:hAnsi="Arial" w:cs="Arial"/>
          <w:szCs w:val="22"/>
        </w:rPr>
        <w:t>Při transportu a instalaci zařízení nesmí být překročena únosnost podlahy přepravní trasy.</w:t>
      </w:r>
    </w:p>
    <w:p w:rsidR="004A6A91" w:rsidRDefault="004F472D">
      <w:pPr>
        <w:pStyle w:val="Odstavecseseznamem"/>
        <w:spacing w:before="60" w:after="60"/>
        <w:ind w:left="720" w:right="284"/>
        <w:rPr>
          <w:rFonts w:ascii="Arial" w:hAnsi="Arial" w:cs="Arial"/>
          <w:szCs w:val="22"/>
        </w:rPr>
      </w:pPr>
      <w:r>
        <w:rPr>
          <w:rFonts w:ascii="Arial" w:hAnsi="Arial" w:cs="Arial"/>
          <w:szCs w:val="22"/>
        </w:rPr>
        <w:t>Únosnost podlahy datového sálu a jeho přístupové chodby (místnosti 219 a 223) je 25 </w:t>
      </w:r>
      <w:proofErr w:type="spellStart"/>
      <w:r>
        <w:rPr>
          <w:rFonts w:ascii="Arial" w:hAnsi="Arial" w:cs="Arial"/>
          <w:szCs w:val="22"/>
        </w:rPr>
        <w:t>kN</w:t>
      </w:r>
      <w:proofErr w:type="spellEnd"/>
      <w:r>
        <w:rPr>
          <w:rFonts w:ascii="Arial" w:hAnsi="Arial" w:cs="Arial"/>
          <w:szCs w:val="22"/>
        </w:rPr>
        <w:t>/m2.</w:t>
      </w:r>
    </w:p>
    <w:p w:rsidR="004A6A91" w:rsidRDefault="004F472D">
      <w:pPr>
        <w:pStyle w:val="Odstavecseseznamem"/>
        <w:spacing w:before="60" w:after="60"/>
        <w:ind w:left="720" w:right="284"/>
        <w:rPr>
          <w:rFonts w:ascii="Arial" w:hAnsi="Arial" w:cs="Arial"/>
          <w:szCs w:val="22"/>
        </w:rPr>
      </w:pPr>
      <w:r>
        <w:rPr>
          <w:rFonts w:ascii="Arial" w:hAnsi="Arial" w:cs="Arial"/>
          <w:szCs w:val="22"/>
        </w:rPr>
        <w:t>Únosnost podlahy přístupových prostor (místnosti 217 a 218) je 5 </w:t>
      </w:r>
      <w:proofErr w:type="spellStart"/>
      <w:r>
        <w:rPr>
          <w:rFonts w:ascii="Arial" w:hAnsi="Arial" w:cs="Arial"/>
          <w:szCs w:val="22"/>
        </w:rPr>
        <w:t>kN</w:t>
      </w:r>
      <w:proofErr w:type="spellEnd"/>
      <w:r>
        <w:rPr>
          <w:rFonts w:ascii="Arial" w:hAnsi="Arial" w:cs="Arial"/>
          <w:szCs w:val="22"/>
        </w:rPr>
        <w:t>/m2. Tento úsek musí být pro transport materiálu dodavatelem dočasně ošetřen instalací ochranných desek pro rozklad zatížení (kupříkladu položením překližkových desek) tak, aby výsledné zatížení podlahy v průběhu fyzické dodávky nepřekročilo 5 </w:t>
      </w:r>
      <w:proofErr w:type="spellStart"/>
      <w:r>
        <w:rPr>
          <w:rFonts w:ascii="Arial" w:hAnsi="Arial" w:cs="Arial"/>
          <w:szCs w:val="22"/>
        </w:rPr>
        <w:t>kN</w:t>
      </w:r>
      <w:proofErr w:type="spellEnd"/>
      <w:r>
        <w:rPr>
          <w:rFonts w:ascii="Arial" w:hAnsi="Arial" w:cs="Arial"/>
          <w:szCs w:val="22"/>
        </w:rPr>
        <w:t>/m2 a předešlo se tak poškození podlahy.</w:t>
      </w:r>
    </w:p>
    <w:p w:rsidR="004A6A91" w:rsidRDefault="004F472D">
      <w:pPr>
        <w:pStyle w:val="Odstavecseseznamem"/>
        <w:spacing w:before="60" w:after="60"/>
        <w:ind w:left="720" w:right="284"/>
        <w:rPr>
          <w:rFonts w:ascii="Arial" w:hAnsi="Arial" w:cs="Arial"/>
          <w:szCs w:val="22"/>
        </w:rPr>
      </w:pPr>
      <w:r>
        <w:rPr>
          <w:rFonts w:ascii="Arial" w:hAnsi="Arial" w:cs="Arial"/>
          <w:szCs w:val="22"/>
        </w:rPr>
        <w:t>V transportní trase není povoleno dlouhodobé skladování.</w:t>
      </w:r>
    </w:p>
    <w:p w:rsidR="004A6A91" w:rsidRDefault="004F472D">
      <w:pPr>
        <w:pStyle w:val="Odstavecseseznamem"/>
        <w:spacing w:before="60" w:after="60"/>
        <w:ind w:left="720" w:right="284"/>
        <w:rPr>
          <w:rFonts w:ascii="Arial" w:hAnsi="Arial" w:cs="Arial"/>
          <w:szCs w:val="22"/>
        </w:rPr>
      </w:pPr>
      <w:r>
        <w:rPr>
          <w:rFonts w:ascii="Arial" w:hAnsi="Arial" w:cs="Arial"/>
          <w:szCs w:val="22"/>
        </w:rPr>
        <w:t>V prostoru datového sálu je možné umísťovat pouze zařízení bez transportních obalů. Rozbalení zařízení musí proběhnout mimo prostor datového sálu. Transportní obaly není možné shromažďovat v prostoru objektu. Odvoz obalů musí probíhat průběžně.</w:t>
      </w:r>
    </w:p>
    <w:p w:rsidR="004A6A91" w:rsidRDefault="004F472D">
      <w:pPr>
        <w:pStyle w:val="Odstavecseseznamem"/>
        <w:spacing w:before="60" w:after="60"/>
        <w:ind w:left="720" w:right="284"/>
        <w:rPr>
          <w:rFonts w:ascii="Arial" w:hAnsi="Arial" w:cs="Arial"/>
          <w:szCs w:val="22"/>
        </w:rPr>
      </w:pPr>
      <w:r>
        <w:rPr>
          <w:rFonts w:ascii="Arial" w:hAnsi="Arial" w:cs="Arial"/>
          <w:szCs w:val="22"/>
        </w:rPr>
        <w:t>Veškeré prahy a podlahové přechodové lišty umístěné po trase transportu musí být dodavatelem vhodným způsobem ochráněny.</w:t>
      </w:r>
    </w:p>
    <w:p w:rsidR="004A6A91" w:rsidRDefault="004A6A91">
      <w:pPr>
        <w:pStyle w:val="Odstavecseseznamem"/>
        <w:ind w:left="720"/>
        <w:rPr>
          <w:rFonts w:ascii="Arial" w:hAnsi="Arial" w:cs="Arial"/>
        </w:rPr>
      </w:pPr>
    </w:p>
    <w:p w:rsidR="004A6A91" w:rsidRDefault="004F472D">
      <w:pPr>
        <w:pStyle w:val="Nadpis3"/>
      </w:pPr>
      <w:bookmarkStart w:id="10" w:name="_Toc155794234"/>
      <w:r>
        <w:t>Likvidace odpadů</w:t>
      </w:r>
      <w:bookmarkEnd w:id="10"/>
    </w:p>
    <w:p w:rsidR="004A6A91" w:rsidRDefault="004F472D">
      <w:pPr>
        <w:pStyle w:val="Odstavecseseznamem"/>
        <w:numPr>
          <w:ilvl w:val="0"/>
          <w:numId w:val="5"/>
        </w:numPr>
        <w:rPr>
          <w:rFonts w:ascii="Arial" w:hAnsi="Arial" w:cs="Arial"/>
          <w:szCs w:val="22"/>
        </w:rPr>
      </w:pPr>
      <w:r>
        <w:rPr>
          <w:rFonts w:ascii="Arial" w:hAnsi="Arial" w:cs="Arial"/>
          <w:szCs w:val="22"/>
        </w:rPr>
        <w:t>Součástí dodávky musí být likvidace veškerých odpadů vzniklých realizací dodávky.</w:t>
      </w:r>
    </w:p>
    <w:p w:rsidR="004A6A91" w:rsidRDefault="004F472D">
      <w:pPr>
        <w:pStyle w:val="Odstavecseseznamem"/>
        <w:ind w:left="720"/>
        <w:rPr>
          <w:rFonts w:ascii="Arial" w:hAnsi="Arial" w:cs="Arial"/>
          <w:szCs w:val="22"/>
        </w:rPr>
      </w:pPr>
      <w:r>
        <w:rPr>
          <w:rFonts w:ascii="Arial" w:hAnsi="Arial" w:cs="Arial"/>
          <w:szCs w:val="22"/>
        </w:rPr>
        <w:t>Provozovatel datového centra není povinen a nebude uchovávat obaly, obalový materiál.</w:t>
      </w:r>
      <w:bookmarkStart w:id="11" w:name="_Toc384032514"/>
      <w:bookmarkEnd w:id="11"/>
      <w:r>
        <w:rPr>
          <w:rFonts w:ascii="Arial" w:hAnsi="Arial" w:cs="Arial"/>
          <w:szCs w:val="22"/>
        </w:rPr>
        <w:t xml:space="preserve"> K likvidaci obalového materiálu není možné využít odpadní nádoby v kampusu VŠB, kde je datové centrum situováno. </w:t>
      </w:r>
    </w:p>
    <w:p w:rsidR="00700832" w:rsidRPr="00700832" w:rsidRDefault="00700832" w:rsidP="00700832">
      <w:pPr>
        <w:rPr>
          <w:rFonts w:ascii="Arial" w:hAnsi="Arial" w:cs="Arial"/>
          <w:szCs w:val="22"/>
        </w:rPr>
      </w:pPr>
    </w:p>
    <w:p w:rsidR="004A6A91" w:rsidRDefault="004F472D">
      <w:pPr>
        <w:pStyle w:val="Nadpis2"/>
        <w:ind w:left="851" w:hanging="284"/>
      </w:pPr>
      <w:bookmarkStart w:id="12" w:name="_Ref359227649"/>
      <w:bookmarkStart w:id="13" w:name="_Ref359227686"/>
      <w:bookmarkStart w:id="14" w:name="_Ref359227693"/>
      <w:bookmarkStart w:id="15" w:name="_Ref359227696"/>
      <w:bookmarkStart w:id="16" w:name="_Ref359227738"/>
      <w:bookmarkStart w:id="17" w:name="_Ref359227746"/>
      <w:bookmarkStart w:id="18" w:name="_Ref359227778"/>
      <w:bookmarkStart w:id="19" w:name="_Toc155794236"/>
      <w:bookmarkStart w:id="20" w:name="_Ref371408678"/>
      <w:r>
        <w:t>Infrastruktura</w:t>
      </w:r>
      <w:bookmarkEnd w:id="12"/>
      <w:bookmarkEnd w:id="13"/>
      <w:bookmarkEnd w:id="14"/>
      <w:bookmarkEnd w:id="15"/>
      <w:bookmarkEnd w:id="16"/>
      <w:bookmarkEnd w:id="17"/>
      <w:bookmarkEnd w:id="18"/>
      <w:r>
        <w:t xml:space="preserve"> zadavatele</w:t>
      </w:r>
      <w:bookmarkEnd w:id="19"/>
      <w:bookmarkEnd w:id="20"/>
    </w:p>
    <w:p w:rsidR="004A6A91" w:rsidRDefault="004F472D">
      <w:pPr>
        <w:rPr>
          <w:rFonts w:ascii="Arial" w:hAnsi="Arial" w:cs="Arial"/>
        </w:rPr>
      </w:pPr>
      <w:r>
        <w:rPr>
          <w:rFonts w:ascii="Arial" w:hAnsi="Arial" w:cs="Arial"/>
        </w:rPr>
        <w:t>NRP úložiště bude instalováno a provozováno v datovém sálu datového centra v budově IT4Innovations. Budova IT4Innovations se nachází v areálu kolejí Vysoké školy báňské – Technické univerzity Ostrava, na adrese Studentská 6231/</w:t>
      </w:r>
      <w:proofErr w:type="gramStart"/>
      <w:r>
        <w:rPr>
          <w:rFonts w:ascii="Arial" w:hAnsi="Arial" w:cs="Arial"/>
        </w:rPr>
        <w:t>1B</w:t>
      </w:r>
      <w:proofErr w:type="gramEnd"/>
      <w:r>
        <w:rPr>
          <w:rFonts w:ascii="Arial" w:hAnsi="Arial" w:cs="Arial"/>
        </w:rPr>
        <w:t>, 708 00 Ostrava-Poruba.</w:t>
      </w:r>
    </w:p>
    <w:p w:rsidR="004A6A91" w:rsidRDefault="004A6A91">
      <w:pPr>
        <w:rPr>
          <w:rFonts w:ascii="Arial" w:hAnsi="Arial" w:cs="Arial"/>
        </w:rPr>
      </w:pPr>
    </w:p>
    <w:p w:rsidR="004A6A91" w:rsidRDefault="004F472D">
      <w:pPr>
        <w:rPr>
          <w:rFonts w:ascii="Arial" w:hAnsi="Arial" w:cs="Arial"/>
        </w:rPr>
      </w:pPr>
      <w:r>
        <w:rPr>
          <w:rFonts w:ascii="Arial" w:hAnsi="Arial" w:cs="Arial"/>
        </w:rPr>
        <w:t>V datovém sále jsou umístěny stávající systémy provozovatele datového centra, prostor datového sálu není prázdný.</w:t>
      </w:r>
    </w:p>
    <w:p w:rsidR="004A6A91" w:rsidRDefault="004A6A91">
      <w:pPr>
        <w:rPr>
          <w:rFonts w:ascii="Arial" w:hAnsi="Arial" w:cs="Arial"/>
        </w:rPr>
      </w:pPr>
    </w:p>
    <w:p w:rsidR="004A6A91" w:rsidRDefault="004F472D">
      <w:pPr>
        <w:rPr>
          <w:rFonts w:ascii="Arial" w:hAnsi="Arial" w:cs="Arial"/>
        </w:rPr>
      </w:pPr>
      <w:r>
        <w:rPr>
          <w:rFonts w:ascii="Arial" w:hAnsi="Arial" w:cs="Arial"/>
        </w:rPr>
        <w:t>Dodavatel musí vzít na vědomí, že datové centrum je režimové pracoviště se systémem ochrany proti požáru sníženou hladinou kyslíku (umožňující bezpečný pobyt zdravé osoby bez speciálního vybavení).</w:t>
      </w:r>
    </w:p>
    <w:p w:rsidR="004A6A91" w:rsidRDefault="004F472D">
      <w:pPr>
        <w:pStyle w:val="Nadpis3"/>
        <w:keepLines/>
        <w:spacing w:before="200" w:after="0" w:line="276" w:lineRule="auto"/>
        <w:jc w:val="left"/>
      </w:pPr>
      <w:bookmarkStart w:id="21" w:name="_Toc155794237"/>
      <w:bookmarkStart w:id="22" w:name="_Ref8147471"/>
      <w:bookmarkStart w:id="23" w:name="_Ref8147466"/>
      <w:r>
        <w:t>Dispozice sálu</w:t>
      </w:r>
      <w:bookmarkEnd w:id="21"/>
      <w:bookmarkEnd w:id="22"/>
      <w:bookmarkEnd w:id="23"/>
    </w:p>
    <w:p w:rsidR="004A6A91" w:rsidRDefault="004F472D">
      <w:pPr>
        <w:rPr>
          <w:rFonts w:ascii="Arial" w:hAnsi="Arial" w:cs="Arial"/>
        </w:rPr>
      </w:pPr>
      <w:r>
        <w:rPr>
          <w:rFonts w:ascii="Arial" w:hAnsi="Arial" w:cs="Arial"/>
        </w:rPr>
        <w:t>Ve druhém nadzemním podlaží budovy IT4Innovations se nachází datový sál (místnost č. 223) o výměře 511,1 m2, rozměrech 24,97 x 20,47 m a světlé stavební výšce 4,5 m. Sál je koncipován jako samostatný, stavebně nedělený prostor.</w:t>
      </w:r>
    </w:p>
    <w:p w:rsidR="004A6A91" w:rsidRDefault="004A6A91">
      <w:pPr>
        <w:rPr>
          <w:rFonts w:ascii="Arial" w:hAnsi="Arial" w:cs="Arial"/>
        </w:rPr>
      </w:pPr>
    </w:p>
    <w:p w:rsidR="004A6A91" w:rsidRDefault="004F472D">
      <w:pPr>
        <w:rPr>
          <w:rFonts w:ascii="Arial" w:hAnsi="Arial" w:cs="Arial"/>
        </w:rPr>
      </w:pPr>
      <w:r>
        <w:rPr>
          <w:rFonts w:ascii="Arial" w:hAnsi="Arial" w:cs="Arial"/>
        </w:rPr>
        <w:t xml:space="preserve">V datovém sále je instalována systémová zdvojená antistatická podlaha rastru 600x600 mm a výšky 980 mm a dále těsný stropní podhled rastru 600x600 mm, </w:t>
      </w:r>
      <w:proofErr w:type="spellStart"/>
      <w:r>
        <w:rPr>
          <w:rFonts w:ascii="Arial" w:hAnsi="Arial" w:cs="Arial"/>
        </w:rPr>
        <w:t>podvěšený</w:t>
      </w:r>
      <w:proofErr w:type="spellEnd"/>
      <w:r>
        <w:rPr>
          <w:rFonts w:ascii="Arial" w:hAnsi="Arial" w:cs="Arial"/>
        </w:rPr>
        <w:t xml:space="preserve"> 700 mm pod stavebním stropem. Světlá výška mezi systémovou podlahou a stropním podhledem činí 2,9 m.</w:t>
      </w:r>
    </w:p>
    <w:p w:rsidR="004A6A91" w:rsidRDefault="004F472D">
      <w:pPr>
        <w:pStyle w:val="Nadpis4"/>
        <w:rPr>
          <w:rFonts w:ascii="Arial" w:hAnsi="Arial" w:cs="Arial"/>
        </w:rPr>
      </w:pPr>
      <w:r>
        <w:rPr>
          <w:rFonts w:ascii="Arial" w:hAnsi="Arial" w:cs="Arial"/>
        </w:rPr>
        <w:t>Podlaha</w:t>
      </w:r>
    </w:p>
    <w:p w:rsidR="004A6A91" w:rsidRDefault="004F472D">
      <w:pPr>
        <w:rPr>
          <w:rFonts w:ascii="Arial" w:hAnsi="Arial" w:cs="Arial"/>
        </w:rPr>
      </w:pPr>
      <w:r>
        <w:rPr>
          <w:rFonts w:ascii="Arial" w:hAnsi="Arial" w:cs="Arial"/>
        </w:rPr>
        <w:t>Zdvojená podlaha má výšku 980 mm. Maximální možné zatížení je 2500 kg/m2 (25kN/m2).</w:t>
      </w:r>
    </w:p>
    <w:p w:rsidR="004A6A91" w:rsidRDefault="004A6A91">
      <w:pPr>
        <w:rPr>
          <w:rFonts w:ascii="Arial" w:hAnsi="Arial" w:cs="Arial"/>
        </w:rPr>
      </w:pPr>
    </w:p>
    <w:p w:rsidR="004A6A91" w:rsidRDefault="004F472D">
      <w:pPr>
        <w:rPr>
          <w:rFonts w:ascii="Arial" w:hAnsi="Arial" w:cs="Arial"/>
        </w:rPr>
      </w:pPr>
      <w:r>
        <w:rPr>
          <w:rFonts w:ascii="Arial" w:hAnsi="Arial" w:cs="Arial"/>
        </w:rPr>
        <w:lastRenderedPageBreak/>
        <w:t>Zakrytí podlahy je provedeno z panelů 600 x 600 mm s jádrem na minerální bázi (třída reakce na oheň dle EN 13501 A2).</w:t>
      </w:r>
    </w:p>
    <w:p w:rsidR="004A6A91" w:rsidRDefault="004F472D">
      <w:pPr>
        <w:rPr>
          <w:rFonts w:ascii="Arial" w:hAnsi="Arial" w:cs="Arial"/>
        </w:rPr>
      </w:pPr>
      <w:r>
        <w:rPr>
          <w:rFonts w:ascii="Arial" w:hAnsi="Arial" w:cs="Arial"/>
        </w:rPr>
        <w:t>Spodní líc panelu je opatřen AL folií. Boky panelů jsou opatřeny plastovou hranou. Horní povrch je opatřen nalepeným PVC v antistatické úpravě.</w:t>
      </w:r>
    </w:p>
    <w:p w:rsidR="004A6A91" w:rsidRDefault="004F472D">
      <w:pPr>
        <w:rPr>
          <w:rFonts w:ascii="Arial" w:hAnsi="Arial" w:cs="Arial"/>
        </w:rPr>
      </w:pPr>
      <w:r>
        <w:rPr>
          <w:rFonts w:ascii="Arial" w:hAnsi="Arial" w:cs="Arial"/>
        </w:rPr>
        <w:t>Jakékoli úpravy podlahy mohou být prováděny výhradně servisní organizací provozovatele datového centra.</w:t>
      </w:r>
    </w:p>
    <w:p w:rsidR="004A6A91" w:rsidRDefault="004A6A91">
      <w:pPr>
        <w:rPr>
          <w:rFonts w:ascii="Arial" w:hAnsi="Arial" w:cs="Arial"/>
        </w:rPr>
      </w:pPr>
    </w:p>
    <w:p w:rsidR="004A6A91" w:rsidRDefault="004F472D">
      <w:pPr>
        <w:pStyle w:val="Nadpis4"/>
        <w:rPr>
          <w:rFonts w:ascii="Arial" w:hAnsi="Arial" w:cs="Arial"/>
        </w:rPr>
      </w:pPr>
      <w:r>
        <w:rPr>
          <w:rFonts w:ascii="Arial" w:hAnsi="Arial" w:cs="Arial"/>
        </w:rPr>
        <w:t>Stropní podhled</w:t>
      </w:r>
    </w:p>
    <w:p w:rsidR="004A6A91" w:rsidRDefault="004F472D">
      <w:pPr>
        <w:rPr>
          <w:rFonts w:ascii="Arial" w:hAnsi="Arial" w:cs="Arial"/>
        </w:rPr>
      </w:pPr>
      <w:r>
        <w:rPr>
          <w:rFonts w:ascii="Arial" w:hAnsi="Arial" w:cs="Arial"/>
        </w:rPr>
        <w:t xml:space="preserve">Pod stropem je podvěšen kovový podhled 600x600x33 mm zkosená hrana o 3 mm zaklapnutá do skryté konstrukce, hladký povrch bez perforace, UV stabilní elektrostaticky nanášený polyesterový lak. Revizní kazety doplněny klipy pro vyklápění kazet směrem dolů dle výkresu podhledů. Pro přístup do prostoru nad podhledem je potřeba vždy oslovit pracovníky provozovatele sálu. </w:t>
      </w:r>
    </w:p>
    <w:p w:rsidR="004A6A91" w:rsidRDefault="004F472D">
      <w:pPr>
        <w:rPr>
          <w:rFonts w:ascii="Arial" w:hAnsi="Arial" w:cs="Arial"/>
        </w:rPr>
      </w:pPr>
      <w:r>
        <w:rPr>
          <w:rFonts w:ascii="Arial" w:hAnsi="Arial" w:cs="Arial"/>
        </w:rPr>
        <w:t xml:space="preserve">Prostupy do stropního podhledu datového sálu musí být osazeny průchodkami kabelových svazků do plechových stropnic, typ PANDUIT RFG10X8Y. Odlišný typ průchodky podléhá odsouhlasení </w:t>
      </w:r>
      <w:r>
        <w:rPr>
          <w:rFonts w:ascii="Arial" w:hAnsi="Arial" w:cs="Arial"/>
          <w:szCs w:val="22"/>
        </w:rPr>
        <w:t>provozovatelem datového centra</w:t>
      </w:r>
      <w:r>
        <w:rPr>
          <w:rFonts w:ascii="Arial" w:hAnsi="Arial" w:cs="Arial"/>
        </w:rPr>
        <w:t>.</w:t>
      </w:r>
    </w:p>
    <w:p w:rsidR="004A6A91" w:rsidRDefault="004A6A91">
      <w:pPr>
        <w:rPr>
          <w:rFonts w:ascii="Arial" w:hAnsi="Arial" w:cs="Arial"/>
        </w:rPr>
      </w:pPr>
    </w:p>
    <w:p w:rsidR="004A6A91" w:rsidRDefault="004F472D">
      <w:pPr>
        <w:pStyle w:val="Nadpis3"/>
        <w:keepLines/>
        <w:spacing w:before="200" w:after="0" w:line="276" w:lineRule="auto"/>
        <w:jc w:val="left"/>
      </w:pPr>
      <w:bookmarkStart w:id="24" w:name="_Toc155794238"/>
      <w:r>
        <w:t>Napájení</w:t>
      </w:r>
      <w:bookmarkEnd w:id="24"/>
    </w:p>
    <w:p w:rsidR="004A6A91" w:rsidRDefault="004F472D">
      <w:pPr>
        <w:pStyle w:val="Odstavce"/>
        <w:rPr>
          <w:rFonts w:cs="Arial"/>
          <w:sz w:val="22"/>
          <w:szCs w:val="22"/>
        </w:rPr>
      </w:pPr>
      <w:r>
        <w:rPr>
          <w:rFonts w:cs="Arial"/>
          <w:sz w:val="22"/>
          <w:szCs w:val="22"/>
        </w:rPr>
        <w:t>Napájecí soustava distribuční přípojnice:</w:t>
      </w:r>
      <w:r>
        <w:rPr>
          <w:rFonts w:cs="Arial"/>
          <w:sz w:val="22"/>
          <w:szCs w:val="22"/>
        </w:rPr>
        <w:tab/>
        <w:t>TN-S 3x400/230 V 50 Hz</w:t>
      </w:r>
    </w:p>
    <w:p w:rsidR="004A6A91" w:rsidRDefault="004F472D">
      <w:pPr>
        <w:pStyle w:val="Odstavce"/>
        <w:rPr>
          <w:rFonts w:cs="Arial"/>
          <w:sz w:val="22"/>
          <w:szCs w:val="22"/>
        </w:rPr>
      </w:pPr>
      <w:r>
        <w:rPr>
          <w:rFonts w:cs="Arial"/>
          <w:sz w:val="22"/>
          <w:szCs w:val="22"/>
        </w:rPr>
        <w:t>Umístění distribučního systému:</w:t>
      </w:r>
      <w:r>
        <w:rPr>
          <w:rFonts w:cs="Arial"/>
          <w:sz w:val="22"/>
          <w:szCs w:val="22"/>
        </w:rPr>
        <w:tab/>
      </w:r>
      <w:r>
        <w:rPr>
          <w:rFonts w:cs="Arial"/>
          <w:sz w:val="22"/>
          <w:szCs w:val="22"/>
        </w:rPr>
        <w:tab/>
        <w:t>pod zdvojenou podlahou</w:t>
      </w:r>
    </w:p>
    <w:p w:rsidR="004A6A91" w:rsidRDefault="004F472D">
      <w:pPr>
        <w:pStyle w:val="Odstavce"/>
        <w:rPr>
          <w:rFonts w:cs="Arial"/>
          <w:sz w:val="22"/>
          <w:szCs w:val="22"/>
        </w:rPr>
      </w:pPr>
      <w:r>
        <w:rPr>
          <w:rFonts w:cs="Arial"/>
          <w:sz w:val="22"/>
          <w:szCs w:val="22"/>
        </w:rPr>
        <w:t>Způsob napojení na distribuční systém:</w:t>
      </w:r>
      <w:r>
        <w:rPr>
          <w:rFonts w:cs="Arial"/>
          <w:sz w:val="22"/>
          <w:szCs w:val="22"/>
        </w:rPr>
        <w:tab/>
        <w:t>pomocí rozvaděče PDB</w:t>
      </w:r>
    </w:p>
    <w:p w:rsidR="004A6A91" w:rsidRDefault="004F472D">
      <w:pPr>
        <w:pStyle w:val="Odstavce"/>
        <w:ind w:left="4245" w:hanging="4245"/>
        <w:jc w:val="left"/>
        <w:rPr>
          <w:rFonts w:cs="Arial"/>
          <w:sz w:val="22"/>
          <w:szCs w:val="22"/>
        </w:rPr>
      </w:pPr>
      <w:r>
        <w:rPr>
          <w:rFonts w:cs="Arial"/>
          <w:sz w:val="22"/>
          <w:szCs w:val="22"/>
        </w:rPr>
        <w:t>Specifikace vývodů rozvaděče PDB</w:t>
      </w:r>
      <w:r>
        <w:rPr>
          <w:rFonts w:cs="Arial"/>
          <w:sz w:val="22"/>
          <w:szCs w:val="22"/>
        </w:rPr>
        <w:tab/>
      </w:r>
      <w:r>
        <w:rPr>
          <w:rFonts w:cs="Arial"/>
          <w:sz w:val="22"/>
          <w:szCs w:val="22"/>
        </w:rPr>
        <w:tab/>
        <w:t>6x3f/32 A; možnost jiné konfigurace;</w:t>
      </w:r>
      <w:r>
        <w:rPr>
          <w:rFonts w:cs="Arial"/>
        </w:rPr>
        <w:t xml:space="preserve"> </w:t>
      </w:r>
      <w:r>
        <w:rPr>
          <w:rFonts w:cs="Arial"/>
        </w:rPr>
        <w:br/>
      </w:r>
      <w:r>
        <w:rPr>
          <w:rFonts w:cs="Arial"/>
          <w:sz w:val="22"/>
          <w:szCs w:val="22"/>
        </w:rPr>
        <w:t>jištění pojistkami s charakteristikou G</w:t>
      </w:r>
    </w:p>
    <w:p w:rsidR="004A6A91" w:rsidRDefault="004F472D">
      <w:pPr>
        <w:pStyle w:val="Odstavce"/>
        <w:rPr>
          <w:rFonts w:cs="Arial"/>
          <w:sz w:val="22"/>
          <w:szCs w:val="22"/>
        </w:rPr>
      </w:pPr>
      <w:r>
        <w:rPr>
          <w:rFonts w:cs="Arial"/>
          <w:sz w:val="22"/>
          <w:szCs w:val="22"/>
        </w:rPr>
        <w:t>Způsob připojení IT technologie:</w:t>
      </w:r>
      <w:r>
        <w:rPr>
          <w:rFonts w:cs="Arial"/>
          <w:sz w:val="22"/>
          <w:szCs w:val="22"/>
        </w:rPr>
        <w:tab/>
      </w:r>
      <w:r>
        <w:rPr>
          <w:rFonts w:cs="Arial"/>
          <w:sz w:val="22"/>
          <w:szCs w:val="22"/>
        </w:rPr>
        <w:tab/>
        <w:t>pomocí průmyslových zásuvek IEC60309</w:t>
      </w:r>
    </w:p>
    <w:p w:rsidR="004A6A91" w:rsidRDefault="004F472D">
      <w:pPr>
        <w:pStyle w:val="Odstavce"/>
        <w:rPr>
          <w:rFonts w:cs="Arial"/>
          <w:sz w:val="22"/>
          <w:szCs w:val="22"/>
        </w:rPr>
      </w:pPr>
      <w:r>
        <w:rPr>
          <w:rFonts w:cs="Arial"/>
        </w:rPr>
        <w:t>Datové centrum dodavateli poskytne přípojná místa vybavená v konfiguraci 3f/</w:t>
      </w:r>
      <w:proofErr w:type="gramStart"/>
      <w:r>
        <w:rPr>
          <w:rFonts w:cs="Arial"/>
        </w:rPr>
        <w:t>32A</w:t>
      </w:r>
      <w:proofErr w:type="gramEnd"/>
      <w:r>
        <w:rPr>
          <w:rFonts w:cs="Arial"/>
        </w:rPr>
        <w:t xml:space="preserve"> a osazená koncovkami PKY32G435. </w:t>
      </w:r>
      <w:r>
        <w:rPr>
          <w:rFonts w:cs="Arial"/>
          <w:sz w:val="22"/>
          <w:szCs w:val="22"/>
        </w:rPr>
        <w:t xml:space="preserve">V případě potřeby rozdělení na 1f musí být toto realizovatelné v prostoru pod podlahou s využitím </w:t>
      </w:r>
      <w:proofErr w:type="spellStart"/>
      <w:r>
        <w:rPr>
          <w:rFonts w:cs="Arial"/>
          <w:sz w:val="22"/>
          <w:szCs w:val="22"/>
        </w:rPr>
        <w:t>splitter</w:t>
      </w:r>
      <w:proofErr w:type="spellEnd"/>
      <w:r>
        <w:rPr>
          <w:rFonts w:cs="Arial"/>
          <w:sz w:val="22"/>
          <w:szCs w:val="22"/>
        </w:rPr>
        <w:t xml:space="preserve"> boxů dodaných dodavatelem včetně kabeláže.</w:t>
      </w:r>
    </w:p>
    <w:p w:rsidR="004A6A91" w:rsidRDefault="004F472D">
      <w:pPr>
        <w:pStyle w:val="Nadpis3"/>
        <w:keepLines/>
        <w:spacing w:before="200" w:after="0" w:line="276" w:lineRule="auto"/>
        <w:jc w:val="left"/>
      </w:pPr>
      <w:bookmarkStart w:id="25" w:name="_Toc155794239"/>
      <w:r>
        <w:t>Chlazení</w:t>
      </w:r>
      <w:bookmarkEnd w:id="25"/>
    </w:p>
    <w:p w:rsidR="004A6A91" w:rsidRDefault="004F472D">
      <w:pPr>
        <w:rPr>
          <w:rFonts w:ascii="Arial" w:hAnsi="Arial" w:cs="Arial"/>
          <w:bCs/>
        </w:rPr>
      </w:pPr>
      <w:r>
        <w:rPr>
          <w:rFonts w:ascii="Arial" w:hAnsi="Arial" w:cs="Arial"/>
          <w:bCs/>
        </w:rPr>
        <w:t xml:space="preserve">Pro realizaci zakázky budou použity dva chladící okruhy studené vody. </w:t>
      </w:r>
    </w:p>
    <w:p w:rsidR="004A6A91" w:rsidRDefault="004F472D">
      <w:pPr>
        <w:rPr>
          <w:rFonts w:ascii="Arial" w:hAnsi="Arial" w:cs="Arial"/>
          <w:bCs/>
        </w:rPr>
      </w:pPr>
      <w:r>
        <w:rPr>
          <w:rFonts w:ascii="Arial" w:hAnsi="Arial" w:cs="Arial"/>
          <w:bCs/>
        </w:rPr>
        <w:t xml:space="preserve">V okruzích je použita směs 35 % </w:t>
      </w:r>
      <w:proofErr w:type="spellStart"/>
      <w:r>
        <w:rPr>
          <w:rFonts w:ascii="Arial" w:hAnsi="Arial" w:cs="Arial"/>
          <w:bCs/>
        </w:rPr>
        <w:t>propylenglykol</w:t>
      </w:r>
      <w:proofErr w:type="spellEnd"/>
      <w:r>
        <w:rPr>
          <w:rFonts w:ascii="Arial" w:hAnsi="Arial" w:cs="Arial"/>
          <w:bCs/>
        </w:rPr>
        <w:t xml:space="preserve"> a 65 % voda. </w:t>
      </w:r>
    </w:p>
    <w:p w:rsidR="004A6A91" w:rsidRDefault="004A6A91">
      <w:pPr>
        <w:rPr>
          <w:rFonts w:ascii="Arial" w:hAnsi="Arial" w:cs="Arial"/>
          <w:bCs/>
        </w:rPr>
      </w:pPr>
    </w:p>
    <w:p w:rsidR="004A6A91" w:rsidRDefault="004F472D">
      <w:pPr>
        <w:rPr>
          <w:rFonts w:ascii="Arial" w:hAnsi="Arial" w:cs="Arial"/>
        </w:rPr>
      </w:pPr>
      <w:r>
        <w:rPr>
          <w:rFonts w:ascii="Arial" w:hAnsi="Arial" w:cs="Arial"/>
        </w:rPr>
        <w:t xml:space="preserve">Základní parametry chladících okruhů studené vody: </w:t>
      </w:r>
    </w:p>
    <w:p w:rsidR="004A6A91" w:rsidRDefault="004F472D">
      <w:pPr>
        <w:pStyle w:val="Odstavecseseznamem"/>
        <w:numPr>
          <w:ilvl w:val="0"/>
          <w:numId w:val="4"/>
        </w:numPr>
        <w:spacing w:after="160" w:line="259" w:lineRule="auto"/>
        <w:ind w:left="720"/>
        <w:contextualSpacing/>
        <w:jc w:val="left"/>
        <w:rPr>
          <w:rFonts w:ascii="Arial" w:hAnsi="Arial" w:cs="Arial"/>
          <w:color w:val="000000" w:themeColor="text1"/>
        </w:rPr>
      </w:pPr>
      <w:r>
        <w:rPr>
          <w:rFonts w:ascii="Arial" w:hAnsi="Arial" w:cs="Arial"/>
          <w:color w:val="000000" w:themeColor="text1"/>
        </w:rPr>
        <w:t>Pracovní tlak: 4,5 bar</w:t>
      </w:r>
    </w:p>
    <w:p w:rsidR="004A6A91" w:rsidRDefault="004F472D">
      <w:pPr>
        <w:pStyle w:val="Odstavecseseznamem"/>
        <w:numPr>
          <w:ilvl w:val="0"/>
          <w:numId w:val="4"/>
        </w:numPr>
        <w:spacing w:after="160" w:line="259" w:lineRule="auto"/>
        <w:ind w:left="720"/>
        <w:contextualSpacing/>
        <w:jc w:val="left"/>
        <w:rPr>
          <w:rFonts w:ascii="Arial" w:hAnsi="Arial" w:cs="Arial"/>
          <w:color w:val="000000" w:themeColor="text1"/>
        </w:rPr>
      </w:pPr>
      <w:r>
        <w:rPr>
          <w:rFonts w:ascii="Arial" w:hAnsi="Arial" w:cs="Arial"/>
          <w:color w:val="000000" w:themeColor="text1"/>
        </w:rPr>
        <w:t>Průtok: 20 m3/hod</w:t>
      </w:r>
    </w:p>
    <w:p w:rsidR="004A6A91" w:rsidRDefault="004F472D">
      <w:pPr>
        <w:pStyle w:val="Odstavecseseznamem"/>
        <w:numPr>
          <w:ilvl w:val="0"/>
          <w:numId w:val="4"/>
        </w:numPr>
        <w:spacing w:after="160" w:line="259" w:lineRule="auto"/>
        <w:ind w:left="720"/>
        <w:contextualSpacing/>
        <w:jc w:val="left"/>
        <w:rPr>
          <w:rFonts w:ascii="Arial" w:hAnsi="Arial" w:cs="Arial"/>
          <w:color w:val="000000" w:themeColor="text1"/>
        </w:rPr>
      </w:pPr>
      <w:r>
        <w:rPr>
          <w:rFonts w:ascii="Arial" w:hAnsi="Arial" w:cs="Arial"/>
          <w:color w:val="000000" w:themeColor="text1"/>
        </w:rPr>
        <w:t>Vstupní teplota chladícího média 10 °C</w:t>
      </w:r>
    </w:p>
    <w:p w:rsidR="004A6A91" w:rsidRDefault="004F472D">
      <w:pPr>
        <w:pStyle w:val="Nadpis3"/>
        <w:keepLines/>
        <w:spacing w:before="200" w:after="0" w:line="276" w:lineRule="auto"/>
        <w:jc w:val="left"/>
      </w:pPr>
      <w:bookmarkStart w:id="26" w:name="_Toc155794240"/>
      <w:r>
        <w:t>Přístupová cesta do datového sálu</w:t>
      </w:r>
      <w:bookmarkEnd w:id="26"/>
    </w:p>
    <w:p w:rsidR="004A6A91" w:rsidRDefault="004F472D">
      <w:pPr>
        <w:rPr>
          <w:rFonts w:ascii="Arial" w:hAnsi="Arial" w:cs="Arial"/>
          <w:bCs/>
        </w:rPr>
      </w:pPr>
      <w:r>
        <w:rPr>
          <w:rFonts w:ascii="Arial" w:hAnsi="Arial" w:cs="Arial"/>
          <w:bCs/>
        </w:rPr>
        <w:t>Návoz technologií do budovy IT4Innovations je možný ze severovýchodní strany objektu, kde je k tomuto účelu připravena rampa. Rampa je široká 2850 mm a vysoká 1030 mm. Pro transport je výhodné použití nákladních aut s hydraulickým čelem. Z prostoru rampy je vstup do budovy, resp. místnosti č. 218.</w:t>
      </w:r>
    </w:p>
    <w:p w:rsidR="004A6A91" w:rsidRDefault="004F472D">
      <w:pPr>
        <w:rPr>
          <w:rFonts w:ascii="Arial" w:hAnsi="Arial" w:cs="Arial"/>
          <w:bCs/>
        </w:rPr>
      </w:pPr>
      <w:r>
        <w:rPr>
          <w:rFonts w:ascii="Arial" w:hAnsi="Arial" w:cs="Arial"/>
          <w:bCs/>
        </w:rPr>
        <w:t xml:space="preserve">Vstupními dveřmi vedoucími do místnosti č. 218 je možné transportovat předměty o rozměrech 2410x1540 mm (výška x šířka). </w:t>
      </w:r>
    </w:p>
    <w:p w:rsidR="004A6A91" w:rsidRDefault="004F472D">
      <w:pPr>
        <w:rPr>
          <w:rFonts w:ascii="Arial" w:hAnsi="Arial" w:cs="Arial"/>
          <w:bCs/>
        </w:rPr>
      </w:pPr>
      <w:r>
        <w:rPr>
          <w:rFonts w:ascii="Arial" w:hAnsi="Arial" w:cs="Arial"/>
          <w:bCs/>
        </w:rPr>
        <w:t>Místnost č. 218 o rozměrech 5,3 x 5,6 m je možné použít pro sejmutí transportních obalů či jako malý mezisklad v době transportu.</w:t>
      </w:r>
    </w:p>
    <w:p w:rsidR="004A6A91" w:rsidRDefault="004F472D">
      <w:pPr>
        <w:rPr>
          <w:rFonts w:ascii="Arial" w:hAnsi="Arial" w:cs="Arial"/>
          <w:bCs/>
        </w:rPr>
      </w:pPr>
      <w:r>
        <w:rPr>
          <w:rFonts w:ascii="Arial" w:hAnsi="Arial" w:cs="Arial"/>
          <w:bCs/>
        </w:rPr>
        <w:lastRenderedPageBreak/>
        <w:t>Z místnosti č. 218 vede přístupová chodba (místnost č. 219) k datovému sálu. Mezi místností č. 218 a místností č. 219 jsou dveře, jimiž je možné transportovat předměty o rozměrech 2340x1600 mm (výška x šířka). Část této chodby, konkrétně v délce 8,5 m, je v provedení šikminy o sklonu 6,5°.</w:t>
      </w:r>
    </w:p>
    <w:p w:rsidR="004A6A91" w:rsidRDefault="004F472D">
      <w:pPr>
        <w:rPr>
          <w:rFonts w:ascii="Arial" w:hAnsi="Arial" w:cs="Arial"/>
          <w:bCs/>
        </w:rPr>
      </w:pPr>
      <w:r>
        <w:rPr>
          <w:rFonts w:ascii="Arial" w:hAnsi="Arial" w:cs="Arial"/>
          <w:bCs/>
        </w:rPr>
        <w:t>Vstup na datový sál (místnost č. 223) je v horní části přístupové chodby. Vstupními dveřmi je možné transportovat předměty o rozměrech 2360x1520 mm (výška x šířka).</w:t>
      </w:r>
    </w:p>
    <w:p w:rsidR="004A6A91" w:rsidRDefault="004F472D">
      <w:pPr>
        <w:rPr>
          <w:rFonts w:ascii="Arial" w:hAnsi="Arial" w:cs="Arial"/>
          <w:bCs/>
        </w:rPr>
      </w:pPr>
      <w:r>
        <w:rPr>
          <w:rFonts w:ascii="Arial" w:hAnsi="Arial" w:cs="Arial"/>
          <w:bCs/>
        </w:rPr>
        <w:t>Předmět, který se projde všemi třemi dveřmi, může mít max. rozměry 2340x1520mm (výška x šířka).</w:t>
      </w:r>
    </w:p>
    <w:p w:rsidR="004A6A91" w:rsidRDefault="004F472D">
      <w:pPr>
        <w:rPr>
          <w:rFonts w:ascii="Arial" w:hAnsi="Arial" w:cs="Arial"/>
          <w:bCs/>
        </w:rPr>
      </w:pPr>
      <w:r>
        <w:rPr>
          <w:rFonts w:ascii="Arial" w:hAnsi="Arial" w:cs="Arial"/>
          <w:bCs/>
        </w:rPr>
        <w:t>Pro transport předmětů v datovém sále je možné využít více variant transportních cest, žádná z nich však není překážkou pro předměty maximálních rozměrů danými dveřmi, viz výše.</w:t>
      </w:r>
    </w:p>
    <w:p w:rsidR="004A6A91" w:rsidRDefault="004F472D">
      <w:pPr>
        <w:rPr>
          <w:rFonts w:ascii="Arial" w:hAnsi="Arial" w:cs="Arial"/>
          <w:bCs/>
        </w:rPr>
      </w:pPr>
      <w:r>
        <w:rPr>
          <w:rFonts w:ascii="Arial" w:hAnsi="Arial" w:cs="Arial"/>
          <w:bCs/>
        </w:rPr>
        <w:t xml:space="preserve">Přípustné zatížení podlah v přístupové chodbě (místnost č. 219) a na datovém sále (místnost č. 223) je 2500 kg/m2 (25 </w:t>
      </w:r>
      <w:proofErr w:type="spellStart"/>
      <w:r>
        <w:rPr>
          <w:rFonts w:ascii="Arial" w:hAnsi="Arial" w:cs="Arial"/>
          <w:bCs/>
        </w:rPr>
        <w:t>kN</w:t>
      </w:r>
      <w:proofErr w:type="spellEnd"/>
      <w:r>
        <w:rPr>
          <w:rFonts w:ascii="Arial" w:hAnsi="Arial" w:cs="Arial"/>
          <w:bCs/>
        </w:rPr>
        <w:t>/m2).</w:t>
      </w:r>
    </w:p>
    <w:p w:rsidR="004A6A91" w:rsidRDefault="004A6A91">
      <w:pPr>
        <w:keepNext/>
        <w:rPr>
          <w:rFonts w:ascii="Arial" w:hAnsi="Arial" w:cs="Arial"/>
        </w:rPr>
      </w:pPr>
    </w:p>
    <w:sectPr w:rsidR="004A6A91">
      <w:footerReference w:type="default" r:id="rId13"/>
      <w:footerReference w:type="first" r:id="rId14"/>
      <w:pgSz w:w="11906" w:h="16838"/>
      <w:pgMar w:top="1417" w:right="1417" w:bottom="1417" w:left="1417" w:header="0" w:footer="708"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E4C" w:rsidRDefault="00676E4C">
      <w:r>
        <w:separator/>
      </w:r>
    </w:p>
  </w:endnote>
  <w:endnote w:type="continuationSeparator" w:id="0">
    <w:p w:rsidR="00676E4C" w:rsidRDefault="00676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auto"/>
    <w:pitch w:val="default"/>
  </w:font>
  <w:font w:name="Noto Sans CJK SC">
    <w:charset w:val="00"/>
    <w:family w:val="auto"/>
    <w:pitch w:val="default"/>
  </w:font>
  <w:font w:name="Noto Sans Devanagari">
    <w:altName w:val="Calibri"/>
    <w:charset w:val="00"/>
    <w:family w:val="auto"/>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590688"/>
      <w:docPartObj>
        <w:docPartGallery w:val="Page Numbers (Bottom of Page)"/>
        <w:docPartUnique/>
      </w:docPartObj>
    </w:sdtPr>
    <w:sdtEndPr/>
    <w:sdtContent>
      <w:p w:rsidR="004A6A91" w:rsidRDefault="004F472D">
        <w:pPr>
          <w:pStyle w:val="Zpat"/>
          <w:jc w:val="center"/>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7</w:t>
        </w:r>
        <w:r>
          <w:rPr>
            <w:rFonts w:ascii="Arial" w:hAnsi="Arial" w:cs="Arial"/>
          </w:rPr>
          <w:fldChar w:fldCharType="end"/>
        </w:r>
      </w:p>
    </w:sdtContent>
  </w:sdt>
  <w:p w:rsidR="004A6A91" w:rsidRDefault="004A6A9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508957"/>
      <w:docPartObj>
        <w:docPartGallery w:val="Page Numbers (Bottom of Page)"/>
        <w:docPartUnique/>
      </w:docPartObj>
    </w:sdtPr>
    <w:sdtEndPr/>
    <w:sdtContent>
      <w:p w:rsidR="004A6A91" w:rsidRDefault="004F472D">
        <w:pPr>
          <w:pStyle w:val="Zpat"/>
          <w:jc w:val="center"/>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7</w:t>
        </w:r>
        <w:r>
          <w:rPr>
            <w:rFonts w:ascii="Arial" w:hAnsi="Arial" w:cs="Arial"/>
          </w:rPr>
          <w:fldChar w:fldCharType="end"/>
        </w:r>
      </w:p>
    </w:sdtContent>
  </w:sdt>
  <w:p w:rsidR="004A6A91" w:rsidRDefault="004A6A9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E4C" w:rsidRDefault="00676E4C">
      <w:r>
        <w:separator/>
      </w:r>
    </w:p>
  </w:footnote>
  <w:footnote w:type="continuationSeparator" w:id="0">
    <w:p w:rsidR="00676E4C" w:rsidRDefault="00676E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52927"/>
    <w:multiLevelType w:val="hybridMultilevel"/>
    <w:tmpl w:val="0E2E5894"/>
    <w:lvl w:ilvl="0" w:tplc="A89E20D4">
      <w:start w:val="1"/>
      <w:numFmt w:val="bullet"/>
      <w:lvlText w:val=""/>
      <w:lvlJc w:val="left"/>
      <w:pPr>
        <w:tabs>
          <w:tab w:val="num" w:pos="0"/>
        </w:tabs>
        <w:ind w:left="1440" w:hanging="360"/>
      </w:pPr>
      <w:rPr>
        <w:rFonts w:ascii="Symbol" w:hAnsi="Symbol" w:cs="Symbol" w:hint="default"/>
      </w:rPr>
    </w:lvl>
    <w:lvl w:ilvl="1" w:tplc="C0562690">
      <w:start w:val="1"/>
      <w:numFmt w:val="bullet"/>
      <w:lvlText w:val="o"/>
      <w:lvlJc w:val="left"/>
      <w:pPr>
        <w:tabs>
          <w:tab w:val="num" w:pos="0"/>
        </w:tabs>
        <w:ind w:left="2160" w:hanging="360"/>
      </w:pPr>
      <w:rPr>
        <w:rFonts w:ascii="Courier New" w:hAnsi="Courier New" w:cs="Courier New" w:hint="default"/>
      </w:rPr>
    </w:lvl>
    <w:lvl w:ilvl="2" w:tplc="AA5E6258">
      <w:start w:val="1"/>
      <w:numFmt w:val="bullet"/>
      <w:lvlText w:val=""/>
      <w:lvlJc w:val="left"/>
      <w:pPr>
        <w:tabs>
          <w:tab w:val="num" w:pos="0"/>
        </w:tabs>
        <w:ind w:left="2880" w:hanging="360"/>
      </w:pPr>
      <w:rPr>
        <w:rFonts w:ascii="Wingdings" w:hAnsi="Wingdings" w:cs="Wingdings" w:hint="default"/>
      </w:rPr>
    </w:lvl>
    <w:lvl w:ilvl="3" w:tplc="570E0A38">
      <w:start w:val="1"/>
      <w:numFmt w:val="bullet"/>
      <w:lvlText w:val=""/>
      <w:lvlJc w:val="left"/>
      <w:pPr>
        <w:tabs>
          <w:tab w:val="num" w:pos="0"/>
        </w:tabs>
        <w:ind w:left="3600" w:hanging="360"/>
      </w:pPr>
      <w:rPr>
        <w:rFonts w:ascii="Symbol" w:hAnsi="Symbol" w:cs="Symbol" w:hint="default"/>
      </w:rPr>
    </w:lvl>
    <w:lvl w:ilvl="4" w:tplc="48C06760">
      <w:start w:val="1"/>
      <w:numFmt w:val="bullet"/>
      <w:lvlText w:val="o"/>
      <w:lvlJc w:val="left"/>
      <w:pPr>
        <w:tabs>
          <w:tab w:val="num" w:pos="0"/>
        </w:tabs>
        <w:ind w:left="4320" w:hanging="360"/>
      </w:pPr>
      <w:rPr>
        <w:rFonts w:ascii="Courier New" w:hAnsi="Courier New" w:cs="Courier New" w:hint="default"/>
      </w:rPr>
    </w:lvl>
    <w:lvl w:ilvl="5" w:tplc="491C45E4">
      <w:start w:val="1"/>
      <w:numFmt w:val="bullet"/>
      <w:lvlText w:val=""/>
      <w:lvlJc w:val="left"/>
      <w:pPr>
        <w:tabs>
          <w:tab w:val="num" w:pos="0"/>
        </w:tabs>
        <w:ind w:left="5040" w:hanging="360"/>
      </w:pPr>
      <w:rPr>
        <w:rFonts w:ascii="Wingdings" w:hAnsi="Wingdings" w:cs="Wingdings" w:hint="default"/>
      </w:rPr>
    </w:lvl>
    <w:lvl w:ilvl="6" w:tplc="87EE2740">
      <w:start w:val="1"/>
      <w:numFmt w:val="bullet"/>
      <w:lvlText w:val=""/>
      <w:lvlJc w:val="left"/>
      <w:pPr>
        <w:tabs>
          <w:tab w:val="num" w:pos="0"/>
        </w:tabs>
        <w:ind w:left="5760" w:hanging="360"/>
      </w:pPr>
      <w:rPr>
        <w:rFonts w:ascii="Symbol" w:hAnsi="Symbol" w:cs="Symbol" w:hint="default"/>
      </w:rPr>
    </w:lvl>
    <w:lvl w:ilvl="7" w:tplc="27B6BFA0">
      <w:start w:val="1"/>
      <w:numFmt w:val="bullet"/>
      <w:lvlText w:val="o"/>
      <w:lvlJc w:val="left"/>
      <w:pPr>
        <w:tabs>
          <w:tab w:val="num" w:pos="0"/>
        </w:tabs>
        <w:ind w:left="6480" w:hanging="360"/>
      </w:pPr>
      <w:rPr>
        <w:rFonts w:ascii="Courier New" w:hAnsi="Courier New" w:cs="Courier New" w:hint="default"/>
      </w:rPr>
    </w:lvl>
    <w:lvl w:ilvl="8" w:tplc="0C72F45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4211533E"/>
    <w:multiLevelType w:val="hybridMultilevel"/>
    <w:tmpl w:val="8578D1DE"/>
    <w:lvl w:ilvl="0" w:tplc="B6E60C8A">
      <w:start w:val="1"/>
      <w:numFmt w:val="decimal"/>
      <w:lvlText w:val="SPEC_%1"/>
      <w:lvlJc w:val="right"/>
      <w:pPr>
        <w:tabs>
          <w:tab w:val="num" w:pos="0"/>
        </w:tabs>
        <w:ind w:left="720" w:hanging="360"/>
      </w:pPr>
    </w:lvl>
    <w:lvl w:ilvl="1" w:tplc="8AA07C48">
      <w:start w:val="1"/>
      <w:numFmt w:val="decimal"/>
      <w:lvlText w:val="%2."/>
      <w:lvlJc w:val="left"/>
      <w:pPr>
        <w:tabs>
          <w:tab w:val="num" w:pos="0"/>
        </w:tabs>
        <w:ind w:left="1440" w:hanging="360"/>
      </w:pPr>
    </w:lvl>
    <w:lvl w:ilvl="2" w:tplc="74EC02AE">
      <w:start w:val="1"/>
      <w:numFmt w:val="decimal"/>
      <w:lvlText w:val="SPEC_%3"/>
      <w:lvlJc w:val="right"/>
      <w:pPr>
        <w:tabs>
          <w:tab w:val="num" w:pos="0"/>
        </w:tabs>
        <w:ind w:left="2685" w:hanging="705"/>
      </w:pPr>
    </w:lvl>
    <w:lvl w:ilvl="3" w:tplc="0E6E078E">
      <w:start w:val="1"/>
      <w:numFmt w:val="decimal"/>
      <w:lvlText w:val="%4."/>
      <w:lvlJc w:val="left"/>
      <w:pPr>
        <w:tabs>
          <w:tab w:val="num" w:pos="0"/>
        </w:tabs>
        <w:ind w:left="2880" w:hanging="360"/>
      </w:pPr>
    </w:lvl>
    <w:lvl w:ilvl="4" w:tplc="196EE33A">
      <w:start w:val="1"/>
      <w:numFmt w:val="lowerLetter"/>
      <w:lvlText w:val="%5."/>
      <w:lvlJc w:val="left"/>
      <w:pPr>
        <w:tabs>
          <w:tab w:val="num" w:pos="0"/>
        </w:tabs>
        <w:ind w:left="3600" w:hanging="360"/>
      </w:pPr>
    </w:lvl>
    <w:lvl w:ilvl="5" w:tplc="C6680F9A">
      <w:start w:val="1"/>
      <w:numFmt w:val="lowerRoman"/>
      <w:lvlText w:val="%6."/>
      <w:lvlJc w:val="right"/>
      <w:pPr>
        <w:tabs>
          <w:tab w:val="num" w:pos="0"/>
        </w:tabs>
        <w:ind w:left="4320" w:hanging="180"/>
      </w:pPr>
    </w:lvl>
    <w:lvl w:ilvl="6" w:tplc="018803FA">
      <w:start w:val="1"/>
      <w:numFmt w:val="decimal"/>
      <w:lvlText w:val="%7."/>
      <w:lvlJc w:val="left"/>
      <w:pPr>
        <w:tabs>
          <w:tab w:val="num" w:pos="0"/>
        </w:tabs>
        <w:ind w:left="5040" w:hanging="360"/>
      </w:pPr>
    </w:lvl>
    <w:lvl w:ilvl="7" w:tplc="EF402044">
      <w:start w:val="1"/>
      <w:numFmt w:val="lowerLetter"/>
      <w:lvlText w:val="%8."/>
      <w:lvlJc w:val="left"/>
      <w:pPr>
        <w:tabs>
          <w:tab w:val="num" w:pos="0"/>
        </w:tabs>
        <w:ind w:left="5760" w:hanging="360"/>
      </w:pPr>
    </w:lvl>
    <w:lvl w:ilvl="8" w:tplc="2FDEAF8C">
      <w:start w:val="1"/>
      <w:numFmt w:val="lowerRoman"/>
      <w:lvlText w:val="%9."/>
      <w:lvlJc w:val="right"/>
      <w:pPr>
        <w:tabs>
          <w:tab w:val="num" w:pos="0"/>
        </w:tabs>
        <w:ind w:left="6480" w:hanging="180"/>
      </w:pPr>
    </w:lvl>
  </w:abstractNum>
  <w:abstractNum w:abstractNumId="2" w15:restartNumberingAfterBreak="0">
    <w:nsid w:val="6D867C51"/>
    <w:multiLevelType w:val="hybridMultilevel"/>
    <w:tmpl w:val="150838FE"/>
    <w:lvl w:ilvl="0" w:tplc="F1E801F8">
      <w:start w:val="1"/>
      <w:numFmt w:val="bullet"/>
      <w:pStyle w:val="Seznamsodrkami2"/>
      <w:lvlText w:val=""/>
      <w:lvlJc w:val="left"/>
      <w:pPr>
        <w:tabs>
          <w:tab w:val="num" w:pos="786"/>
        </w:tabs>
        <w:ind w:left="786" w:hanging="360"/>
      </w:pPr>
      <w:rPr>
        <w:rFonts w:ascii="Wingdings" w:hAnsi="Wingdings" w:cs="Wingdings" w:hint="default"/>
        <w:color w:val="336699"/>
      </w:rPr>
    </w:lvl>
    <w:lvl w:ilvl="1" w:tplc="C7CC88BE">
      <w:start w:val="1"/>
      <w:numFmt w:val="bullet"/>
      <w:lvlText w:val="o"/>
      <w:lvlJc w:val="left"/>
      <w:pPr>
        <w:tabs>
          <w:tab w:val="num" w:pos="1866"/>
        </w:tabs>
        <w:ind w:left="1866" w:hanging="360"/>
      </w:pPr>
      <w:rPr>
        <w:rFonts w:ascii="Courier New" w:hAnsi="Courier New" w:cs="Courier New" w:hint="default"/>
      </w:rPr>
    </w:lvl>
    <w:lvl w:ilvl="2" w:tplc="6728E182">
      <w:start w:val="1"/>
      <w:numFmt w:val="bullet"/>
      <w:lvlText w:val=""/>
      <w:lvlJc w:val="left"/>
      <w:pPr>
        <w:tabs>
          <w:tab w:val="num" w:pos="2586"/>
        </w:tabs>
        <w:ind w:left="2586" w:hanging="360"/>
      </w:pPr>
      <w:rPr>
        <w:rFonts w:ascii="Wingdings" w:hAnsi="Wingdings" w:cs="Wingdings" w:hint="default"/>
      </w:rPr>
    </w:lvl>
    <w:lvl w:ilvl="3" w:tplc="B420D4F8">
      <w:start w:val="1"/>
      <w:numFmt w:val="bullet"/>
      <w:lvlText w:val=""/>
      <w:lvlJc w:val="left"/>
      <w:pPr>
        <w:tabs>
          <w:tab w:val="num" w:pos="3306"/>
        </w:tabs>
        <w:ind w:left="3306" w:hanging="360"/>
      </w:pPr>
      <w:rPr>
        <w:rFonts w:ascii="Symbol" w:hAnsi="Symbol" w:cs="Symbol" w:hint="default"/>
      </w:rPr>
    </w:lvl>
    <w:lvl w:ilvl="4" w:tplc="E620156A">
      <w:start w:val="1"/>
      <w:numFmt w:val="bullet"/>
      <w:lvlText w:val="o"/>
      <w:lvlJc w:val="left"/>
      <w:pPr>
        <w:tabs>
          <w:tab w:val="num" w:pos="4026"/>
        </w:tabs>
        <w:ind w:left="4026" w:hanging="360"/>
      </w:pPr>
      <w:rPr>
        <w:rFonts w:ascii="Courier New" w:hAnsi="Courier New" w:cs="Courier New" w:hint="default"/>
      </w:rPr>
    </w:lvl>
    <w:lvl w:ilvl="5" w:tplc="EF7C0B08">
      <w:start w:val="1"/>
      <w:numFmt w:val="bullet"/>
      <w:lvlText w:val=""/>
      <w:lvlJc w:val="left"/>
      <w:pPr>
        <w:tabs>
          <w:tab w:val="num" w:pos="4746"/>
        </w:tabs>
        <w:ind w:left="4746" w:hanging="360"/>
      </w:pPr>
      <w:rPr>
        <w:rFonts w:ascii="Wingdings" w:hAnsi="Wingdings" w:cs="Wingdings" w:hint="default"/>
      </w:rPr>
    </w:lvl>
    <w:lvl w:ilvl="6" w:tplc="8A822132">
      <w:start w:val="1"/>
      <w:numFmt w:val="bullet"/>
      <w:lvlText w:val=""/>
      <w:lvlJc w:val="left"/>
      <w:pPr>
        <w:tabs>
          <w:tab w:val="num" w:pos="5466"/>
        </w:tabs>
        <w:ind w:left="5466" w:hanging="360"/>
      </w:pPr>
      <w:rPr>
        <w:rFonts w:ascii="Symbol" w:hAnsi="Symbol" w:cs="Symbol" w:hint="default"/>
      </w:rPr>
    </w:lvl>
    <w:lvl w:ilvl="7" w:tplc="CD549ADC">
      <w:start w:val="1"/>
      <w:numFmt w:val="bullet"/>
      <w:lvlText w:val="o"/>
      <w:lvlJc w:val="left"/>
      <w:pPr>
        <w:tabs>
          <w:tab w:val="num" w:pos="6186"/>
        </w:tabs>
        <w:ind w:left="6186" w:hanging="360"/>
      </w:pPr>
      <w:rPr>
        <w:rFonts w:ascii="Courier New" w:hAnsi="Courier New" w:cs="Courier New" w:hint="default"/>
      </w:rPr>
    </w:lvl>
    <w:lvl w:ilvl="8" w:tplc="79C87ABC">
      <w:start w:val="1"/>
      <w:numFmt w:val="bullet"/>
      <w:lvlText w:val=""/>
      <w:lvlJc w:val="left"/>
      <w:pPr>
        <w:tabs>
          <w:tab w:val="num" w:pos="6906"/>
        </w:tabs>
        <w:ind w:left="6906" w:hanging="360"/>
      </w:pPr>
      <w:rPr>
        <w:rFonts w:ascii="Wingdings" w:hAnsi="Wingdings" w:cs="Wingdings" w:hint="default"/>
      </w:rPr>
    </w:lvl>
  </w:abstractNum>
  <w:abstractNum w:abstractNumId="3" w15:restartNumberingAfterBreak="0">
    <w:nsid w:val="73B94E7B"/>
    <w:multiLevelType w:val="multilevel"/>
    <w:tmpl w:val="BAB06090"/>
    <w:lvl w:ilvl="0">
      <w:start w:val="1"/>
      <w:numFmt w:val="decimal"/>
      <w:pStyle w:val="Nadpis2"/>
      <w:lvlText w:val="%1"/>
      <w:lvlJc w:val="left"/>
      <w:pPr>
        <w:tabs>
          <w:tab w:val="num" w:pos="0"/>
        </w:tabs>
        <w:ind w:left="5536" w:hanging="432"/>
      </w:pPr>
    </w:lvl>
    <w:lvl w:ilvl="1">
      <w:start w:val="1"/>
      <w:numFmt w:val="decimal"/>
      <w:pStyle w:val="Nadpis3"/>
      <w:lvlText w:val="%1.%2"/>
      <w:lvlJc w:val="left"/>
      <w:pPr>
        <w:tabs>
          <w:tab w:val="num" w:pos="0"/>
        </w:tabs>
        <w:ind w:left="576" w:hanging="576"/>
      </w:pPr>
    </w:lvl>
    <w:lvl w:ilvl="2">
      <w:start w:val="1"/>
      <w:numFmt w:val="decimal"/>
      <w:pStyle w:val="Nadpis4"/>
      <w:lvlText w:val="%1.%2.%3"/>
      <w:lvlJc w:val="left"/>
      <w:pPr>
        <w:tabs>
          <w:tab w:val="num" w:pos="0"/>
        </w:tabs>
        <w:ind w:left="720" w:hanging="720"/>
      </w:pPr>
    </w:lvl>
    <w:lvl w:ilvl="3">
      <w:start w:val="1"/>
      <w:numFmt w:val="decimal"/>
      <w:pStyle w:val="Nadpis5"/>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pStyle w:val="Nadpis6"/>
      <w:lvlText w:val="%1.%2.%3.%4.%5.%6"/>
      <w:lvlJc w:val="left"/>
      <w:pPr>
        <w:tabs>
          <w:tab w:val="num" w:pos="0"/>
        </w:tabs>
        <w:ind w:left="1152" w:hanging="1152"/>
      </w:pPr>
    </w:lvl>
    <w:lvl w:ilvl="6">
      <w:start w:val="1"/>
      <w:numFmt w:val="decimal"/>
      <w:pStyle w:val="Nadpis7"/>
      <w:lvlText w:val="%1.%2.%3.%4.%5.%6.%7"/>
      <w:lvlJc w:val="left"/>
      <w:pPr>
        <w:tabs>
          <w:tab w:val="num" w:pos="0"/>
        </w:tabs>
        <w:ind w:left="1296" w:hanging="1296"/>
      </w:pPr>
    </w:lvl>
    <w:lvl w:ilvl="7">
      <w:start w:val="1"/>
      <w:numFmt w:val="decimal"/>
      <w:pStyle w:val="Nadpis8"/>
      <w:lvlText w:val="%1.%2.%3.%4.%5.%6.%7.%8"/>
      <w:lvlJc w:val="left"/>
      <w:pPr>
        <w:tabs>
          <w:tab w:val="num" w:pos="0"/>
        </w:tabs>
        <w:ind w:left="1440" w:hanging="1440"/>
      </w:pPr>
    </w:lvl>
    <w:lvl w:ilvl="8">
      <w:start w:val="1"/>
      <w:numFmt w:val="decimal"/>
      <w:pStyle w:val="Nadpis9"/>
      <w:lvlText w:val="%1.%2.%3.%4.%5.%6.%7.%8.%9"/>
      <w:lvlJc w:val="left"/>
      <w:pPr>
        <w:tabs>
          <w:tab w:val="num" w:pos="0"/>
        </w:tabs>
        <w:ind w:left="1584" w:hanging="1584"/>
      </w:pPr>
    </w:lvl>
  </w:abstractNum>
  <w:abstractNum w:abstractNumId="4" w15:restartNumberingAfterBreak="0">
    <w:nsid w:val="74E54AF6"/>
    <w:multiLevelType w:val="hybridMultilevel"/>
    <w:tmpl w:val="16309658"/>
    <w:lvl w:ilvl="0" w:tplc="4E7EBE80">
      <w:start w:val="1"/>
      <w:numFmt w:val="bullet"/>
      <w:lvlText w:val=""/>
      <w:lvlJc w:val="left"/>
      <w:pPr>
        <w:tabs>
          <w:tab w:val="num" w:pos="0"/>
        </w:tabs>
        <w:ind w:left="720" w:hanging="360"/>
      </w:pPr>
      <w:rPr>
        <w:rFonts w:ascii="Symbol" w:hAnsi="Symbol" w:cs="Symbol" w:hint="default"/>
        <w:b/>
      </w:rPr>
    </w:lvl>
    <w:lvl w:ilvl="1" w:tplc="E0CEEC62">
      <w:start w:val="1"/>
      <w:numFmt w:val="bullet"/>
      <w:lvlText w:val="o"/>
      <w:lvlJc w:val="left"/>
      <w:pPr>
        <w:tabs>
          <w:tab w:val="num" w:pos="0"/>
        </w:tabs>
        <w:ind w:left="1440" w:hanging="360"/>
      </w:pPr>
      <w:rPr>
        <w:rFonts w:ascii="Courier New" w:hAnsi="Courier New" w:cs="Courier New" w:hint="default"/>
      </w:rPr>
    </w:lvl>
    <w:lvl w:ilvl="2" w:tplc="1DBAD4D4">
      <w:start w:val="1"/>
      <w:numFmt w:val="bullet"/>
      <w:lvlText w:val=""/>
      <w:lvlJc w:val="left"/>
      <w:pPr>
        <w:tabs>
          <w:tab w:val="num" w:pos="0"/>
        </w:tabs>
        <w:ind w:left="2160" w:hanging="360"/>
      </w:pPr>
      <w:rPr>
        <w:rFonts w:ascii="Wingdings" w:hAnsi="Wingdings" w:cs="Wingdings" w:hint="default"/>
      </w:rPr>
    </w:lvl>
    <w:lvl w:ilvl="3" w:tplc="83001D62">
      <w:start w:val="1"/>
      <w:numFmt w:val="bullet"/>
      <w:lvlText w:val=""/>
      <w:lvlJc w:val="left"/>
      <w:pPr>
        <w:tabs>
          <w:tab w:val="num" w:pos="0"/>
        </w:tabs>
        <w:ind w:left="2880" w:hanging="360"/>
      </w:pPr>
      <w:rPr>
        <w:rFonts w:ascii="Symbol" w:hAnsi="Symbol" w:cs="Symbol" w:hint="default"/>
      </w:rPr>
    </w:lvl>
    <w:lvl w:ilvl="4" w:tplc="B41E8A08">
      <w:start w:val="1"/>
      <w:numFmt w:val="bullet"/>
      <w:lvlText w:val="o"/>
      <w:lvlJc w:val="left"/>
      <w:pPr>
        <w:tabs>
          <w:tab w:val="num" w:pos="0"/>
        </w:tabs>
        <w:ind w:left="3600" w:hanging="360"/>
      </w:pPr>
      <w:rPr>
        <w:rFonts w:ascii="Courier New" w:hAnsi="Courier New" w:cs="Courier New" w:hint="default"/>
      </w:rPr>
    </w:lvl>
    <w:lvl w:ilvl="5" w:tplc="D5EEC60E">
      <w:start w:val="1"/>
      <w:numFmt w:val="bullet"/>
      <w:lvlText w:val=""/>
      <w:lvlJc w:val="left"/>
      <w:pPr>
        <w:tabs>
          <w:tab w:val="num" w:pos="0"/>
        </w:tabs>
        <w:ind w:left="4320" w:hanging="360"/>
      </w:pPr>
      <w:rPr>
        <w:rFonts w:ascii="Wingdings" w:hAnsi="Wingdings" w:cs="Wingdings" w:hint="default"/>
      </w:rPr>
    </w:lvl>
    <w:lvl w:ilvl="6" w:tplc="AD5C3372">
      <w:start w:val="1"/>
      <w:numFmt w:val="bullet"/>
      <w:lvlText w:val=""/>
      <w:lvlJc w:val="left"/>
      <w:pPr>
        <w:tabs>
          <w:tab w:val="num" w:pos="0"/>
        </w:tabs>
        <w:ind w:left="5040" w:hanging="360"/>
      </w:pPr>
      <w:rPr>
        <w:rFonts w:ascii="Symbol" w:hAnsi="Symbol" w:cs="Symbol" w:hint="default"/>
      </w:rPr>
    </w:lvl>
    <w:lvl w:ilvl="7" w:tplc="F7168C3C">
      <w:start w:val="1"/>
      <w:numFmt w:val="bullet"/>
      <w:lvlText w:val="o"/>
      <w:lvlJc w:val="left"/>
      <w:pPr>
        <w:tabs>
          <w:tab w:val="num" w:pos="0"/>
        </w:tabs>
        <w:ind w:left="5760" w:hanging="360"/>
      </w:pPr>
      <w:rPr>
        <w:rFonts w:ascii="Courier New" w:hAnsi="Courier New" w:cs="Courier New" w:hint="default"/>
      </w:rPr>
    </w:lvl>
    <w:lvl w:ilvl="8" w:tplc="58A89622">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7F8F5268"/>
    <w:multiLevelType w:val="hybridMultilevel"/>
    <w:tmpl w:val="4DC27CB4"/>
    <w:lvl w:ilvl="0" w:tplc="851ACC64">
      <w:start w:val="1"/>
      <w:numFmt w:val="none"/>
      <w:suff w:val="nothing"/>
      <w:lvlText w:val=""/>
      <w:lvlJc w:val="left"/>
      <w:pPr>
        <w:tabs>
          <w:tab w:val="num" w:pos="0"/>
        </w:tabs>
        <w:ind w:left="0" w:firstLine="0"/>
      </w:pPr>
    </w:lvl>
    <w:lvl w:ilvl="1" w:tplc="91DAD7FC">
      <w:start w:val="1"/>
      <w:numFmt w:val="none"/>
      <w:suff w:val="nothing"/>
      <w:lvlText w:val=""/>
      <w:lvlJc w:val="left"/>
      <w:pPr>
        <w:tabs>
          <w:tab w:val="num" w:pos="0"/>
        </w:tabs>
        <w:ind w:left="0" w:firstLine="0"/>
      </w:pPr>
    </w:lvl>
    <w:lvl w:ilvl="2" w:tplc="6A3AC722">
      <w:start w:val="1"/>
      <w:numFmt w:val="none"/>
      <w:suff w:val="nothing"/>
      <w:lvlText w:val=""/>
      <w:lvlJc w:val="left"/>
      <w:pPr>
        <w:tabs>
          <w:tab w:val="num" w:pos="0"/>
        </w:tabs>
        <w:ind w:left="0" w:firstLine="0"/>
      </w:pPr>
    </w:lvl>
    <w:lvl w:ilvl="3" w:tplc="F54054C4">
      <w:start w:val="1"/>
      <w:numFmt w:val="none"/>
      <w:suff w:val="nothing"/>
      <w:lvlText w:val=""/>
      <w:lvlJc w:val="left"/>
      <w:pPr>
        <w:tabs>
          <w:tab w:val="num" w:pos="0"/>
        </w:tabs>
        <w:ind w:left="0" w:firstLine="0"/>
      </w:pPr>
    </w:lvl>
    <w:lvl w:ilvl="4" w:tplc="41220F56">
      <w:start w:val="1"/>
      <w:numFmt w:val="none"/>
      <w:suff w:val="nothing"/>
      <w:lvlText w:val=""/>
      <w:lvlJc w:val="left"/>
      <w:pPr>
        <w:tabs>
          <w:tab w:val="num" w:pos="0"/>
        </w:tabs>
        <w:ind w:left="0" w:firstLine="0"/>
      </w:pPr>
    </w:lvl>
    <w:lvl w:ilvl="5" w:tplc="C09E1B96">
      <w:start w:val="1"/>
      <w:numFmt w:val="none"/>
      <w:suff w:val="nothing"/>
      <w:lvlText w:val=""/>
      <w:lvlJc w:val="left"/>
      <w:pPr>
        <w:tabs>
          <w:tab w:val="num" w:pos="0"/>
        </w:tabs>
        <w:ind w:left="0" w:firstLine="0"/>
      </w:pPr>
    </w:lvl>
    <w:lvl w:ilvl="6" w:tplc="CE5C1DC8">
      <w:start w:val="1"/>
      <w:numFmt w:val="none"/>
      <w:suff w:val="nothing"/>
      <w:lvlText w:val=""/>
      <w:lvlJc w:val="left"/>
      <w:pPr>
        <w:tabs>
          <w:tab w:val="num" w:pos="0"/>
        </w:tabs>
        <w:ind w:left="0" w:firstLine="0"/>
      </w:pPr>
    </w:lvl>
    <w:lvl w:ilvl="7" w:tplc="04AC85D4">
      <w:start w:val="1"/>
      <w:numFmt w:val="none"/>
      <w:suff w:val="nothing"/>
      <w:lvlText w:val=""/>
      <w:lvlJc w:val="left"/>
      <w:pPr>
        <w:tabs>
          <w:tab w:val="num" w:pos="0"/>
        </w:tabs>
        <w:ind w:left="0" w:firstLine="0"/>
      </w:pPr>
    </w:lvl>
    <w:lvl w:ilvl="8" w:tplc="95D8F6A0">
      <w:start w:val="1"/>
      <w:numFmt w:val="none"/>
      <w:suff w:val="nothing"/>
      <w:lvlText w:val=""/>
      <w:lvlJc w:val="left"/>
      <w:pPr>
        <w:tabs>
          <w:tab w:val="num" w:pos="0"/>
        </w:tabs>
        <w:ind w:left="0" w:firstLine="0"/>
      </w:p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A91"/>
    <w:rsid w:val="004A6A91"/>
    <w:rsid w:val="004F472D"/>
    <w:rsid w:val="00676E4C"/>
    <w:rsid w:val="00700832"/>
    <w:rsid w:val="00C53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1F7A5"/>
  <w15:docId w15:val="{1D73AE29-912C-4168-B656-751959B7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jc w:val="both"/>
    </w:pPr>
    <w:rPr>
      <w:rFonts w:eastAsia="Times New Roman" w:cs="Times New Roman"/>
      <w:szCs w:val="24"/>
      <w:lang w:eastAsia="cs-CZ"/>
    </w:rPr>
  </w:style>
  <w:style w:type="paragraph" w:styleId="Nadpis1">
    <w:name w:val="heading 1"/>
    <w:basedOn w:val="Normln"/>
    <w:next w:val="Normln"/>
    <w:link w:val="Nadpis1Char"/>
    <w:qFormat/>
    <w:pPr>
      <w:keepNext/>
      <w:spacing w:before="240" w:after="60"/>
      <w:outlineLvl w:val="0"/>
    </w:pPr>
    <w:rPr>
      <w:rFonts w:ascii="Arial" w:hAnsi="Arial" w:cs="Arial"/>
      <w:b/>
      <w:bCs/>
      <w:sz w:val="32"/>
      <w:szCs w:val="32"/>
    </w:rPr>
  </w:style>
  <w:style w:type="paragraph" w:styleId="Nadpis2">
    <w:name w:val="heading 2"/>
    <w:basedOn w:val="Normln"/>
    <w:next w:val="Normln"/>
    <w:link w:val="Nadpis2Char"/>
    <w:qFormat/>
    <w:pPr>
      <w:keepNext/>
      <w:numPr>
        <w:numId w:val="1"/>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pPr>
      <w:keepNext/>
      <w:numPr>
        <w:ilvl w:val="1"/>
        <w:numId w:val="1"/>
      </w:numPr>
      <w:spacing w:before="240" w:after="60"/>
      <w:outlineLvl w:val="2"/>
    </w:pPr>
    <w:rPr>
      <w:rFonts w:ascii="Arial" w:hAnsi="Arial" w:cs="Arial"/>
      <w:b/>
      <w:bCs/>
      <w:sz w:val="26"/>
      <w:szCs w:val="26"/>
    </w:rPr>
  </w:style>
  <w:style w:type="paragraph" w:styleId="Nadpis4">
    <w:name w:val="heading 4"/>
    <w:basedOn w:val="Normln"/>
    <w:next w:val="Normln"/>
    <w:link w:val="Nadpis4Char"/>
    <w:unhideWhenUsed/>
    <w:qFormat/>
    <w:pPr>
      <w:keepNext/>
      <w:keepLines/>
      <w:numPr>
        <w:ilvl w:val="2"/>
        <w:numId w:val="1"/>
      </w:numPr>
      <w:spacing w:before="200"/>
      <w:outlineLvl w:val="3"/>
    </w:pPr>
    <w:rPr>
      <w:rFonts w:asciiTheme="majorHAnsi" w:eastAsiaTheme="majorEastAsia" w:hAnsiTheme="majorHAnsi" w:cstheme="majorBidi"/>
      <w:b/>
      <w:bCs/>
      <w:i/>
      <w:iCs/>
    </w:rPr>
  </w:style>
  <w:style w:type="paragraph" w:styleId="Nadpis5">
    <w:name w:val="heading 5"/>
    <w:basedOn w:val="Normln"/>
    <w:next w:val="Normln"/>
    <w:link w:val="Nadpis5Char"/>
    <w:unhideWhenUsed/>
    <w:qFormat/>
    <w:pPr>
      <w:keepNext/>
      <w:keepLines/>
      <w:numPr>
        <w:ilvl w:val="3"/>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basedOn w:val="Standardnpsmoodstavce"/>
    <w:uiPriority w:val="9"/>
    <w:qFormat/>
    <w:rPr>
      <w:rFonts w:ascii="Arial" w:eastAsia="Arial" w:hAnsi="Arial" w:cs="Arial"/>
      <w:sz w:val="40"/>
      <w:szCs w:val="40"/>
    </w:rPr>
  </w:style>
  <w:style w:type="character" w:customStyle="1" w:styleId="Heading2Char">
    <w:name w:val="Heading 2 Char"/>
    <w:basedOn w:val="Standardnpsmoodstavce"/>
    <w:uiPriority w:val="9"/>
    <w:qFormat/>
    <w:rPr>
      <w:rFonts w:ascii="Arial" w:eastAsia="Arial" w:hAnsi="Arial" w:cs="Arial"/>
      <w:sz w:val="34"/>
    </w:rPr>
  </w:style>
  <w:style w:type="character" w:customStyle="1" w:styleId="Heading3Char">
    <w:name w:val="Heading 3 Char"/>
    <w:basedOn w:val="Standardnpsmoodstavce"/>
    <w:uiPriority w:val="9"/>
    <w:qFormat/>
    <w:rPr>
      <w:rFonts w:ascii="Arial" w:eastAsia="Arial" w:hAnsi="Arial" w:cs="Arial"/>
      <w:sz w:val="30"/>
      <w:szCs w:val="30"/>
    </w:rPr>
  </w:style>
  <w:style w:type="character" w:customStyle="1" w:styleId="Heading4Char">
    <w:name w:val="Heading 4 Char"/>
    <w:basedOn w:val="Standardnpsmoodstavce"/>
    <w:uiPriority w:val="9"/>
    <w:qFormat/>
    <w:rPr>
      <w:rFonts w:ascii="Arial" w:eastAsia="Arial" w:hAnsi="Arial" w:cs="Arial"/>
      <w:b/>
      <w:bCs/>
      <w:sz w:val="26"/>
      <w:szCs w:val="26"/>
    </w:rPr>
  </w:style>
  <w:style w:type="character" w:customStyle="1" w:styleId="Heading5Char">
    <w:name w:val="Heading 5 Char"/>
    <w:basedOn w:val="Standardnpsmoodstavce"/>
    <w:uiPriority w:val="9"/>
    <w:qFormat/>
    <w:rPr>
      <w:rFonts w:ascii="Arial" w:eastAsia="Arial" w:hAnsi="Arial" w:cs="Arial"/>
      <w:b/>
      <w:bCs/>
      <w:sz w:val="24"/>
      <w:szCs w:val="24"/>
    </w:rPr>
  </w:style>
  <w:style w:type="character" w:customStyle="1" w:styleId="Heading6Char">
    <w:name w:val="Heading 6 Char"/>
    <w:basedOn w:val="Standardnpsmoodstavce"/>
    <w:uiPriority w:val="9"/>
    <w:qFormat/>
    <w:rPr>
      <w:rFonts w:ascii="Arial" w:eastAsia="Arial" w:hAnsi="Arial" w:cs="Arial"/>
      <w:b/>
      <w:bCs/>
      <w:sz w:val="22"/>
      <w:szCs w:val="22"/>
    </w:rPr>
  </w:style>
  <w:style w:type="character" w:customStyle="1" w:styleId="Heading7Char">
    <w:name w:val="Heading 7 Char"/>
    <w:basedOn w:val="Standardnpsmoodstavce"/>
    <w:uiPriority w:val="9"/>
    <w:qFormat/>
    <w:rPr>
      <w:rFonts w:ascii="Arial" w:eastAsia="Arial" w:hAnsi="Arial" w:cs="Arial"/>
      <w:b/>
      <w:bCs/>
      <w:i/>
      <w:iCs/>
      <w:sz w:val="22"/>
      <w:szCs w:val="22"/>
    </w:rPr>
  </w:style>
  <w:style w:type="character" w:customStyle="1" w:styleId="Heading8Char">
    <w:name w:val="Heading 8 Char"/>
    <w:basedOn w:val="Standardnpsmoodstavce"/>
    <w:uiPriority w:val="9"/>
    <w:qFormat/>
    <w:rPr>
      <w:rFonts w:ascii="Arial" w:eastAsia="Arial" w:hAnsi="Arial" w:cs="Arial"/>
      <w:i/>
      <w:iCs/>
      <w:sz w:val="22"/>
      <w:szCs w:val="22"/>
    </w:rPr>
  </w:style>
  <w:style w:type="character" w:customStyle="1" w:styleId="Heading9Char">
    <w:name w:val="Heading 9 Char"/>
    <w:basedOn w:val="Standardnpsmoodstavce"/>
    <w:uiPriority w:val="9"/>
    <w:qFormat/>
    <w:rPr>
      <w:rFonts w:ascii="Arial" w:eastAsia="Arial" w:hAnsi="Arial" w:cs="Arial"/>
      <w:i/>
      <w:iCs/>
      <w:sz w:val="21"/>
      <w:szCs w:val="21"/>
    </w:rPr>
  </w:style>
  <w:style w:type="character" w:customStyle="1" w:styleId="TitleChar">
    <w:name w:val="Title Char"/>
    <w:basedOn w:val="Standardnpsmoodstavce"/>
    <w:uiPriority w:val="10"/>
    <w:qFormat/>
    <w:rPr>
      <w:sz w:val="48"/>
      <w:szCs w:val="48"/>
    </w:rPr>
  </w:style>
  <w:style w:type="character" w:customStyle="1" w:styleId="SubtitleChar">
    <w:name w:val="Subtitle Char"/>
    <w:basedOn w:val="Standardnpsmoodstavce"/>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Standardnpsmoodstavce"/>
    <w:uiPriority w:val="99"/>
    <w:qFormat/>
  </w:style>
  <w:style w:type="character" w:customStyle="1" w:styleId="FooterChar">
    <w:name w:val="Footer Char"/>
    <w:basedOn w:val="Standardnpsmoodstavce"/>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NzevChar">
    <w:name w:val="Název Char"/>
    <w:basedOn w:val="Standardnpsmoodstavce"/>
    <w:link w:val="Nzev"/>
    <w:uiPriority w:val="10"/>
    <w:qFormat/>
    <w:rPr>
      <w:sz w:val="48"/>
      <w:szCs w:val="48"/>
    </w:rPr>
  </w:style>
  <w:style w:type="character" w:customStyle="1" w:styleId="PodnadpisChar">
    <w:name w:val="Podnadpis Char"/>
    <w:basedOn w:val="Standardnpsmoodstavce"/>
    <w:link w:val="Podnadpis"/>
    <w:uiPriority w:val="11"/>
    <w:qFormat/>
    <w:rPr>
      <w:sz w:val="24"/>
      <w:szCs w:val="24"/>
    </w:rPr>
  </w:style>
  <w:style w:type="character" w:customStyle="1" w:styleId="CittChar">
    <w:name w:val="Citát Char"/>
    <w:link w:val="Citt"/>
    <w:uiPriority w:val="29"/>
    <w:qFormat/>
    <w:rPr>
      <w:i/>
    </w:rPr>
  </w:style>
  <w:style w:type="character" w:customStyle="1" w:styleId="VrazncittChar">
    <w:name w:val="Výrazný citát Char"/>
    <w:link w:val="Vrazncitt"/>
    <w:uiPriority w:val="30"/>
    <w:qFormat/>
    <w:rPr>
      <w:i/>
    </w:rPr>
  </w:style>
  <w:style w:type="character" w:customStyle="1" w:styleId="CaptionChar">
    <w:name w:val="Caption Char"/>
    <w:uiPriority w:val="99"/>
    <w:qFormat/>
  </w:style>
  <w:style w:type="character" w:customStyle="1" w:styleId="TextvysvtlivekChar">
    <w:name w:val="Text vysvětlivek Char"/>
    <w:link w:val="Textvysvtlivek"/>
    <w:uiPriority w:val="99"/>
    <w:qFormat/>
    <w:rPr>
      <w:sz w:val="20"/>
    </w:rPr>
  </w:style>
  <w:style w:type="character" w:customStyle="1" w:styleId="EndnoteCharacters">
    <w:name w:val="Endnote Characters"/>
    <w:basedOn w:val="Standardnpsmoodstavce"/>
    <w:uiPriority w:val="99"/>
    <w:semiHidden/>
    <w:unhideWhenUsed/>
    <w:qFormat/>
    <w:rPr>
      <w:vertAlign w:val="superscript"/>
    </w:rPr>
  </w:style>
  <w:style w:type="character" w:styleId="Odkaznavysvtlivky">
    <w:name w:val="endnote reference"/>
    <w:rPr>
      <w:vertAlign w:val="superscript"/>
    </w:rPr>
  </w:style>
  <w:style w:type="character" w:customStyle="1" w:styleId="Nadpis1Char">
    <w:name w:val="Nadpis 1 Char"/>
    <w:basedOn w:val="Standardnpsmoodstavce"/>
    <w:link w:val="Nadpis1"/>
    <w:qFormat/>
    <w:rPr>
      <w:rFonts w:ascii="Arial" w:eastAsia="Times New Roman" w:hAnsi="Arial" w:cs="Arial"/>
      <w:b/>
      <w:bCs/>
      <w:sz w:val="32"/>
      <w:szCs w:val="32"/>
      <w:lang w:eastAsia="cs-CZ"/>
    </w:rPr>
  </w:style>
  <w:style w:type="character" w:customStyle="1" w:styleId="Nadpis2Char">
    <w:name w:val="Nadpis 2 Char"/>
    <w:basedOn w:val="Standardnpsmoodstavce"/>
    <w:link w:val="Nadpis2"/>
    <w:qFormat/>
    <w:rPr>
      <w:rFonts w:ascii="Arial" w:eastAsia="Times New Roman" w:hAnsi="Arial" w:cs="Arial"/>
      <w:b/>
      <w:bCs/>
      <w:i/>
      <w:iCs/>
      <w:sz w:val="28"/>
      <w:szCs w:val="28"/>
      <w:lang w:eastAsia="cs-CZ"/>
    </w:rPr>
  </w:style>
  <w:style w:type="character" w:customStyle="1" w:styleId="Nadpis3Char">
    <w:name w:val="Nadpis 3 Char"/>
    <w:basedOn w:val="Standardnpsmoodstavce"/>
    <w:link w:val="Nadpis3"/>
    <w:qFormat/>
    <w:rPr>
      <w:rFonts w:ascii="Arial" w:eastAsia="Times New Roman" w:hAnsi="Arial" w:cs="Arial"/>
      <w:b/>
      <w:bCs/>
      <w:sz w:val="26"/>
      <w:szCs w:val="26"/>
      <w:lang w:eastAsia="cs-CZ"/>
    </w:rPr>
  </w:style>
  <w:style w:type="character" w:customStyle="1" w:styleId="Nadpis4Char">
    <w:name w:val="Nadpis 4 Char"/>
    <w:basedOn w:val="Standardnpsmoodstavce"/>
    <w:link w:val="Nadpis4"/>
    <w:qFormat/>
    <w:rPr>
      <w:rFonts w:asciiTheme="majorHAnsi" w:eastAsiaTheme="majorEastAsia" w:hAnsiTheme="majorHAnsi" w:cstheme="majorBidi"/>
      <w:b/>
      <w:bCs/>
      <w:i/>
      <w:iCs/>
      <w:szCs w:val="24"/>
      <w:lang w:eastAsia="cs-CZ"/>
    </w:rPr>
  </w:style>
  <w:style w:type="character" w:customStyle="1" w:styleId="Nadpis5Char">
    <w:name w:val="Nadpis 5 Char"/>
    <w:basedOn w:val="Standardnpsmoodstavce"/>
    <w:link w:val="Nadpis5"/>
    <w:qFormat/>
    <w:rPr>
      <w:rFonts w:asciiTheme="majorHAnsi" w:eastAsiaTheme="majorEastAsia" w:hAnsiTheme="majorHAnsi" w:cstheme="majorBidi"/>
      <w:color w:val="243F60" w:themeColor="accent1" w:themeShade="7F"/>
      <w:szCs w:val="24"/>
      <w:lang w:eastAsia="cs-CZ"/>
    </w:rPr>
  </w:style>
  <w:style w:type="character" w:customStyle="1" w:styleId="Nadpis6Char">
    <w:name w:val="Nadpis 6 Char"/>
    <w:basedOn w:val="Standardnpsmoodstavce"/>
    <w:link w:val="Nadpis6"/>
    <w:semiHidden/>
    <w:qFormat/>
    <w:rPr>
      <w:rFonts w:asciiTheme="majorHAnsi" w:eastAsiaTheme="majorEastAsia" w:hAnsiTheme="majorHAnsi" w:cstheme="majorBidi"/>
      <w:i/>
      <w:iCs/>
      <w:color w:val="243F60" w:themeColor="accent1" w:themeShade="7F"/>
      <w:szCs w:val="24"/>
      <w:lang w:eastAsia="cs-CZ"/>
    </w:rPr>
  </w:style>
  <w:style w:type="character" w:customStyle="1" w:styleId="Nadpis7Char">
    <w:name w:val="Nadpis 7 Char"/>
    <w:basedOn w:val="Standardnpsmoodstavce"/>
    <w:link w:val="Nadpis7"/>
    <w:semiHidden/>
    <w:qFormat/>
    <w:rPr>
      <w:rFonts w:asciiTheme="majorHAnsi" w:eastAsiaTheme="majorEastAsia" w:hAnsiTheme="majorHAnsi" w:cstheme="majorBidi"/>
      <w:i/>
      <w:iCs/>
      <w:color w:val="404040" w:themeColor="text1" w:themeTint="BF"/>
      <w:szCs w:val="24"/>
      <w:lang w:eastAsia="cs-CZ"/>
    </w:rPr>
  </w:style>
  <w:style w:type="character" w:customStyle="1" w:styleId="Nadpis8Char">
    <w:name w:val="Nadpis 8 Char"/>
    <w:basedOn w:val="Standardnpsmoodstavce"/>
    <w:link w:val="Nadpis8"/>
    <w:semiHidden/>
    <w:qFormat/>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semiHidden/>
    <w:qFormat/>
    <w:rPr>
      <w:rFonts w:asciiTheme="majorHAnsi" w:eastAsiaTheme="majorEastAsia" w:hAnsiTheme="majorHAnsi" w:cstheme="majorBidi"/>
      <w:i/>
      <w:iCs/>
      <w:color w:val="404040" w:themeColor="text1" w:themeTint="BF"/>
      <w:sz w:val="20"/>
      <w:szCs w:val="20"/>
      <w:lang w:eastAsia="cs-CZ"/>
    </w:rPr>
  </w:style>
  <w:style w:type="character" w:styleId="Odkaznakoment">
    <w:name w:val="annotation reference"/>
    <w:uiPriority w:val="99"/>
    <w:qFormat/>
    <w:rPr>
      <w:sz w:val="16"/>
      <w:szCs w:val="16"/>
    </w:rPr>
  </w:style>
  <w:style w:type="character" w:customStyle="1" w:styleId="TextkomenteChar">
    <w:name w:val="Text komentáře Char"/>
    <w:basedOn w:val="Standardnpsmoodstavce"/>
    <w:link w:val="Textkomente"/>
    <w:qFormat/>
    <w:rPr>
      <w:rFonts w:ascii="Calibri" w:eastAsia="Times New Roman" w:hAnsi="Calibri" w:cs="Times New Roman"/>
      <w:sz w:val="20"/>
      <w:szCs w:val="20"/>
      <w:lang w:eastAsia="cs-CZ"/>
    </w:rPr>
  </w:style>
  <w:style w:type="character" w:customStyle="1" w:styleId="PedmtkomenteChar">
    <w:name w:val="Předmět komentáře Char"/>
    <w:basedOn w:val="TextkomenteChar"/>
    <w:link w:val="Pedmtkomente"/>
    <w:semiHidden/>
    <w:qFormat/>
    <w:rPr>
      <w:rFonts w:ascii="Calibri" w:eastAsia="Times New Roman" w:hAnsi="Calibri" w:cs="Times New Roman"/>
      <w:b/>
      <w:bCs/>
      <w:sz w:val="20"/>
      <w:szCs w:val="20"/>
      <w:lang w:eastAsia="cs-CZ"/>
    </w:rPr>
  </w:style>
  <w:style w:type="character" w:customStyle="1" w:styleId="TextbublinyChar">
    <w:name w:val="Text bubliny Char"/>
    <w:basedOn w:val="Standardnpsmoodstavce"/>
    <w:link w:val="Textbubliny"/>
    <w:semiHidden/>
    <w:qFormat/>
    <w:rPr>
      <w:rFonts w:ascii="Tahoma" w:eastAsia="Times New Roman" w:hAnsi="Tahoma" w:cs="Tahoma"/>
      <w:sz w:val="16"/>
      <w:szCs w:val="16"/>
      <w:lang w:eastAsia="cs-CZ"/>
    </w:rPr>
  </w:style>
  <w:style w:type="character" w:customStyle="1" w:styleId="ZhlavChar">
    <w:name w:val="Záhlaví Char"/>
    <w:basedOn w:val="Standardnpsmoodstavce"/>
    <w:link w:val="Zhlav"/>
    <w:uiPriority w:val="99"/>
    <w:qFormat/>
    <w:rPr>
      <w:rFonts w:ascii="Calibri" w:eastAsia="Times New Roman" w:hAnsi="Calibri" w:cs="Times New Roman"/>
      <w:szCs w:val="24"/>
      <w:lang w:eastAsia="cs-CZ"/>
    </w:rPr>
  </w:style>
  <w:style w:type="character" w:customStyle="1" w:styleId="ZpatChar">
    <w:name w:val="Zápatí Char"/>
    <w:basedOn w:val="Standardnpsmoodstavce"/>
    <w:link w:val="Zpat"/>
    <w:uiPriority w:val="99"/>
    <w:qFormat/>
    <w:rPr>
      <w:rFonts w:ascii="Calibri" w:eastAsia="Times New Roman" w:hAnsi="Calibri" w:cs="Times New Roman"/>
      <w:szCs w:val="24"/>
      <w:lang w:eastAsia="cs-CZ"/>
    </w:rPr>
  </w:style>
  <w:style w:type="character" w:styleId="Hypertextovodkaz">
    <w:name w:val="Hyperlink"/>
    <w:basedOn w:val="Standardnpsmoodstavce"/>
    <w:uiPriority w:val="99"/>
    <w:rPr>
      <w:color w:val="0000FF" w:themeColor="hyperlink"/>
      <w:u w:val="single"/>
    </w:rPr>
  </w:style>
  <w:style w:type="character" w:styleId="Sledovanodkaz">
    <w:name w:val="FollowedHyperlink"/>
    <w:basedOn w:val="Standardnpsmoodstavce"/>
    <w:rPr>
      <w:color w:val="800080" w:themeColor="followedHyperlink"/>
      <w:u w:val="single"/>
    </w:rPr>
  </w:style>
  <w:style w:type="character" w:styleId="Siln">
    <w:name w:val="Strong"/>
    <w:basedOn w:val="Standardnpsmoodstavce"/>
    <w:qFormat/>
    <w:rPr>
      <w:b/>
      <w:bCs/>
    </w:rPr>
  </w:style>
  <w:style w:type="character" w:styleId="Zstupntext">
    <w:name w:val="Placeholder Text"/>
    <w:basedOn w:val="Standardnpsmoodstavce"/>
    <w:uiPriority w:val="99"/>
    <w:semiHidden/>
    <w:qFormat/>
    <w:rPr>
      <w:color w:val="808080"/>
    </w:rPr>
  </w:style>
  <w:style w:type="character" w:customStyle="1" w:styleId="RLProhlensmluvnchstranChar">
    <w:name w:val="RL Prohlášení smluvních stran Char"/>
    <w:link w:val="RLProhlensmluvnchstran"/>
    <w:qFormat/>
    <w:rPr>
      <w:rFonts w:ascii="Calibri" w:eastAsia="Times New Roman" w:hAnsi="Calibri" w:cs="Times New Roman"/>
      <w:b/>
      <w:szCs w:val="24"/>
      <w:lang w:eastAsia="cs-CZ"/>
    </w:rPr>
  </w:style>
  <w:style w:type="character" w:customStyle="1" w:styleId="OdstavecseseznamemChar">
    <w:name w:val="Odstavec se seznamem Char"/>
    <w:basedOn w:val="Standardnpsmoodstavce"/>
    <w:link w:val="Odstavecseseznamem"/>
    <w:uiPriority w:val="34"/>
    <w:qFormat/>
    <w:rPr>
      <w:rFonts w:ascii="Calibri" w:eastAsia="Times New Roman" w:hAnsi="Calibri" w:cs="Times New Roman"/>
      <w:szCs w:val="24"/>
      <w:lang w:eastAsia="cs-CZ"/>
    </w:rPr>
  </w:style>
  <w:style w:type="character" w:customStyle="1" w:styleId="BezmezerChar">
    <w:name w:val="Bez mezer Char"/>
    <w:basedOn w:val="Standardnpsmoodstavce"/>
    <w:link w:val="Bezmezer"/>
    <w:uiPriority w:val="1"/>
    <w:qFormat/>
    <w:rPr>
      <w:rFonts w:eastAsiaTheme="minorEastAsia"/>
      <w:lang w:eastAsia="cs-CZ"/>
    </w:rPr>
  </w:style>
  <w:style w:type="character" w:customStyle="1" w:styleId="TextpoznpodarouChar">
    <w:name w:val="Text pozn. pod čarou Char"/>
    <w:basedOn w:val="Standardnpsmoodstavce"/>
    <w:link w:val="Textpoznpodarou"/>
    <w:uiPriority w:val="99"/>
    <w:semiHidden/>
    <w:qFormat/>
    <w:rPr>
      <w:rFonts w:ascii="Calibri" w:eastAsia="Times New Roman" w:hAnsi="Calibri" w:cs="Times New Roman"/>
      <w:sz w:val="20"/>
      <w:szCs w:val="20"/>
      <w:lang w:eastAsia="cs-CZ"/>
    </w:rPr>
  </w:style>
  <w:style w:type="character" w:customStyle="1" w:styleId="FootnoteCharacters">
    <w:name w:val="Footnote Characters"/>
    <w:basedOn w:val="Standardnpsmoodstavce"/>
    <w:uiPriority w:val="99"/>
    <w:semiHidden/>
    <w:unhideWhenUsed/>
    <w:qFormat/>
    <w:rPr>
      <w:vertAlign w:val="superscript"/>
    </w:rPr>
  </w:style>
  <w:style w:type="character" w:styleId="Znakapoznpodarou">
    <w:name w:val="footnote reference"/>
    <w:rPr>
      <w:vertAlign w:val="superscript"/>
    </w:rPr>
  </w:style>
  <w:style w:type="character" w:customStyle="1" w:styleId="OdstavceChar">
    <w:name w:val="Odstavce Char"/>
    <w:link w:val="Odstavce"/>
    <w:qFormat/>
    <w:rPr>
      <w:rFonts w:ascii="Arial" w:eastAsia="Calibri" w:hAnsi="Arial" w:cs="Times New Roman"/>
      <w:sz w:val="20"/>
      <w:szCs w:val="20"/>
    </w:rPr>
  </w:style>
  <w:style w:type="character" w:styleId="slodku">
    <w:name w:val="line number"/>
  </w:style>
  <w:style w:type="paragraph" w:customStyle="1" w:styleId="Heading">
    <w:name w:val="Heading"/>
    <w:basedOn w:val="Normln"/>
    <w:next w:val="Zkladntext"/>
    <w:qFormat/>
    <w:pPr>
      <w:keepNext/>
      <w:spacing w:before="240" w:after="120"/>
    </w:pPr>
    <w:rPr>
      <w:rFonts w:ascii="Liberation Sans" w:eastAsia="Noto Sans CJK SC" w:hAnsi="Liberation Sans" w:cs="Noto Sans Devanagari"/>
      <w:sz w:val="28"/>
      <w:szCs w:val="28"/>
    </w:rPr>
  </w:style>
  <w:style w:type="paragraph" w:styleId="Zkladntext">
    <w:name w:val="Body Text"/>
    <w:basedOn w:val="Normln"/>
    <w:pPr>
      <w:spacing w:after="140" w:line="276" w:lineRule="auto"/>
    </w:pPr>
  </w:style>
  <w:style w:type="paragraph" w:styleId="Seznam">
    <w:name w:val="List"/>
    <w:basedOn w:val="Zkladntext"/>
    <w:rPr>
      <w:rFonts w:cs="Noto Sans Devanagari"/>
    </w:rPr>
  </w:style>
  <w:style w:type="paragraph" w:styleId="Titulek">
    <w:name w:val="caption"/>
    <w:basedOn w:val="Normln"/>
    <w:next w:val="Normln"/>
    <w:uiPriority w:val="35"/>
    <w:unhideWhenUsed/>
    <w:qFormat/>
    <w:pPr>
      <w:spacing w:after="200"/>
    </w:pPr>
    <w:rPr>
      <w:b/>
      <w:bCs/>
      <w:color w:val="4F81BD" w:themeColor="accent1"/>
      <w:sz w:val="18"/>
      <w:szCs w:val="18"/>
    </w:rPr>
  </w:style>
  <w:style w:type="paragraph" w:customStyle="1" w:styleId="Index">
    <w:name w:val="Index"/>
    <w:basedOn w:val="Normln"/>
    <w:qFormat/>
    <w:pPr>
      <w:suppressLineNumbers/>
    </w:pPr>
    <w:rPr>
      <w:rFonts w:cs="Noto Sans Devanagari"/>
    </w:rPr>
  </w:style>
  <w:style w:type="paragraph" w:styleId="Nzev">
    <w:name w:val="Title"/>
    <w:basedOn w:val="Normln"/>
    <w:next w:val="Normln"/>
    <w:link w:val="NzevChar"/>
    <w:uiPriority w:val="10"/>
    <w:qFormat/>
    <w:pPr>
      <w:spacing w:before="300" w:after="200"/>
      <w:contextualSpacing/>
    </w:pPr>
    <w:rPr>
      <w:sz w:val="48"/>
      <w:szCs w:val="48"/>
    </w:rPr>
  </w:style>
  <w:style w:type="paragraph" w:styleId="Podnadpis">
    <w:name w:val="Subtitle"/>
    <w:basedOn w:val="Normln"/>
    <w:next w:val="Normln"/>
    <w:link w:val="PodnadpisChar"/>
    <w:uiPriority w:val="11"/>
    <w:qFormat/>
    <w:pPr>
      <w:spacing w:before="200" w:after="200"/>
    </w:pPr>
    <w:rPr>
      <w:sz w:val="24"/>
    </w:rPr>
  </w:style>
  <w:style w:type="paragraph" w:styleId="Citt">
    <w:name w:val="Quote"/>
    <w:basedOn w:val="Normln"/>
    <w:next w:val="Normln"/>
    <w:link w:val="CittChar"/>
    <w:uiPriority w:val="29"/>
    <w:qFormat/>
    <w:pPr>
      <w:ind w:left="720" w:right="720"/>
    </w:pPr>
    <w:rPr>
      <w:i/>
    </w:rPr>
  </w:style>
  <w:style w:type="paragraph" w:styleId="Vrazncitt">
    <w:name w:val="Intense Quote"/>
    <w:basedOn w:val="Normln"/>
    <w:next w:val="Normln"/>
    <w:link w:val="Vrazncit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vysvtlivek">
    <w:name w:val="endnote text"/>
    <w:basedOn w:val="Normln"/>
    <w:link w:val="TextvysvtlivekChar"/>
    <w:uiPriority w:val="99"/>
    <w:semiHidden/>
    <w:unhideWhenUsed/>
    <w:rPr>
      <w:sz w:val="20"/>
    </w:rPr>
  </w:style>
  <w:style w:type="paragraph" w:styleId="Obsah5">
    <w:name w:val="toc 5"/>
    <w:basedOn w:val="Normln"/>
    <w:next w:val="Normln"/>
    <w:uiPriority w:val="39"/>
    <w:unhideWhenUsed/>
    <w:pPr>
      <w:spacing w:after="57"/>
      <w:ind w:left="1134"/>
    </w:pPr>
  </w:style>
  <w:style w:type="paragraph" w:styleId="Obsah6">
    <w:name w:val="toc 6"/>
    <w:basedOn w:val="Normln"/>
    <w:next w:val="Normln"/>
    <w:uiPriority w:val="39"/>
    <w:unhideWhenUsed/>
    <w:pPr>
      <w:spacing w:after="57"/>
      <w:ind w:left="1417"/>
    </w:pPr>
  </w:style>
  <w:style w:type="paragraph" w:styleId="Obsah7">
    <w:name w:val="toc 7"/>
    <w:basedOn w:val="Normln"/>
    <w:next w:val="Normln"/>
    <w:uiPriority w:val="39"/>
    <w:unhideWhenUsed/>
    <w:pPr>
      <w:spacing w:after="57"/>
      <w:ind w:left="1701"/>
    </w:pPr>
  </w:style>
  <w:style w:type="paragraph" w:styleId="Obsah8">
    <w:name w:val="toc 8"/>
    <w:basedOn w:val="Normln"/>
    <w:next w:val="Normln"/>
    <w:uiPriority w:val="39"/>
    <w:unhideWhenUsed/>
    <w:pPr>
      <w:spacing w:after="57"/>
      <w:ind w:left="1984"/>
    </w:pPr>
  </w:style>
  <w:style w:type="paragraph" w:styleId="Obsah9">
    <w:name w:val="toc 9"/>
    <w:basedOn w:val="Normln"/>
    <w:next w:val="Normln"/>
    <w:uiPriority w:val="39"/>
    <w:unhideWhenUsed/>
    <w:pPr>
      <w:spacing w:after="57"/>
      <w:ind w:left="2268"/>
    </w:pPr>
  </w:style>
  <w:style w:type="paragraph" w:styleId="Seznamobrzk">
    <w:name w:val="table of figures"/>
    <w:basedOn w:val="Normln"/>
    <w:next w:val="Normln"/>
    <w:uiPriority w:val="99"/>
    <w:unhideWhenUsed/>
  </w:style>
  <w:style w:type="paragraph" w:styleId="Textkomente">
    <w:name w:val="annotation text"/>
    <w:basedOn w:val="Normln"/>
    <w:link w:val="TextkomenteChar"/>
    <w:rPr>
      <w:sz w:val="20"/>
      <w:szCs w:val="20"/>
    </w:rPr>
  </w:style>
  <w:style w:type="paragraph" w:styleId="Pedmtkomente">
    <w:name w:val="annotation subject"/>
    <w:basedOn w:val="Textkomente"/>
    <w:next w:val="Textkomente"/>
    <w:link w:val="PedmtkomenteChar"/>
    <w:semiHidden/>
    <w:qFormat/>
    <w:rPr>
      <w:b/>
      <w:bCs/>
    </w:rPr>
  </w:style>
  <w:style w:type="paragraph" w:styleId="Textbubliny">
    <w:name w:val="Balloon Text"/>
    <w:basedOn w:val="Normln"/>
    <w:link w:val="TextbublinyChar"/>
    <w:semiHidden/>
    <w:qFormat/>
    <w:rPr>
      <w:rFonts w:ascii="Tahoma" w:hAnsi="Tahoma" w:cs="Tahoma"/>
      <w:sz w:val="16"/>
      <w:szCs w:val="16"/>
    </w:rPr>
  </w:style>
  <w:style w:type="paragraph" w:styleId="Odstavecseseznamem">
    <w:name w:val="List Paragraph"/>
    <w:basedOn w:val="Normln"/>
    <w:link w:val="OdstavecseseznamemChar"/>
    <w:uiPriority w:val="34"/>
    <w:qFormat/>
    <w:pPr>
      <w:ind w:left="708"/>
    </w:pPr>
  </w:style>
  <w:style w:type="paragraph" w:customStyle="1" w:styleId="HeaderandFooter">
    <w:name w:val="Header and Footer"/>
    <w:basedOn w:val="Normln"/>
    <w:qFormat/>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Revize">
    <w:name w:val="Revision"/>
    <w:uiPriority w:val="99"/>
    <w:semiHidden/>
    <w:qFormat/>
    <w:rPr>
      <w:rFonts w:ascii="Times New Roman" w:eastAsia="Times New Roman" w:hAnsi="Times New Roman" w:cs="Times New Roman"/>
      <w:sz w:val="24"/>
      <w:szCs w:val="24"/>
      <w:lang w:eastAsia="cs-CZ"/>
    </w:rPr>
  </w:style>
  <w:style w:type="paragraph" w:styleId="Hlavikarejstku">
    <w:name w:val="index heading"/>
    <w:basedOn w:val="Heading"/>
  </w:style>
  <w:style w:type="paragraph" w:styleId="Nadpisobsahu">
    <w:name w:val="TOC Heading"/>
    <w:basedOn w:val="Nadpis1"/>
    <w:next w:val="Normln"/>
    <w:uiPriority w:val="39"/>
    <w:unhideWhenUsed/>
    <w:qFormat/>
    <w:pPr>
      <w:keepLines/>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Obsah1">
    <w:name w:val="toc 1"/>
    <w:basedOn w:val="Normln"/>
    <w:next w:val="Normln"/>
    <w:uiPriority w:val="39"/>
    <w:qFormat/>
    <w:pPr>
      <w:spacing w:after="100"/>
    </w:pPr>
  </w:style>
  <w:style w:type="paragraph" w:styleId="Obsah2">
    <w:name w:val="toc 2"/>
    <w:basedOn w:val="Normln"/>
    <w:next w:val="Normln"/>
    <w:uiPriority w:val="39"/>
    <w:qFormat/>
    <w:pPr>
      <w:tabs>
        <w:tab w:val="left" w:pos="880"/>
        <w:tab w:val="right" w:leader="dot" w:pos="9062"/>
      </w:tabs>
      <w:spacing w:after="100"/>
      <w:ind w:left="240"/>
    </w:pPr>
  </w:style>
  <w:style w:type="paragraph" w:styleId="Obsah3">
    <w:name w:val="toc 3"/>
    <w:basedOn w:val="Normln"/>
    <w:next w:val="Normln"/>
    <w:uiPriority w:val="39"/>
    <w:qFormat/>
    <w:pPr>
      <w:tabs>
        <w:tab w:val="left" w:pos="1100"/>
        <w:tab w:val="right" w:leader="dot" w:pos="9062"/>
      </w:tabs>
      <w:spacing w:after="100"/>
      <w:ind w:left="480"/>
    </w:pPr>
  </w:style>
  <w:style w:type="paragraph" w:styleId="Seznamsodrkami2">
    <w:name w:val="List Bullet 2"/>
    <w:basedOn w:val="Normln"/>
    <w:pPr>
      <w:numPr>
        <w:numId w:val="2"/>
      </w:numPr>
      <w:spacing w:before="60" w:after="60"/>
      <w:ind w:right="284"/>
    </w:pPr>
    <w:rPr>
      <w:rFonts w:ascii="Times New Roman" w:hAnsi="Times New Roman"/>
      <w:bCs/>
      <w:szCs w:val="20"/>
    </w:rPr>
  </w:style>
  <w:style w:type="paragraph" w:customStyle="1" w:styleId="CharCharChar">
    <w:name w:val="Char Char Char"/>
    <w:basedOn w:val="Normln"/>
    <w:semiHidden/>
    <w:qFormat/>
    <w:pPr>
      <w:spacing w:after="160" w:line="240" w:lineRule="exact"/>
      <w:jc w:val="left"/>
    </w:pPr>
    <w:rPr>
      <w:rFonts w:ascii="Verdana" w:hAnsi="Verdana"/>
      <w:sz w:val="20"/>
      <w:szCs w:val="20"/>
      <w:lang w:val="en-US" w:eastAsia="en-US"/>
    </w:rPr>
  </w:style>
  <w:style w:type="paragraph" w:styleId="Obsah4">
    <w:name w:val="toc 4"/>
    <w:basedOn w:val="Normln"/>
    <w:next w:val="Normln"/>
    <w:uiPriority w:val="39"/>
    <w:pPr>
      <w:spacing w:after="100"/>
      <w:ind w:left="660"/>
    </w:pPr>
  </w:style>
  <w:style w:type="paragraph" w:customStyle="1" w:styleId="RLProhlensmluvnchstran">
    <w:name w:val="RL Prohlášení smluvních stran"/>
    <w:basedOn w:val="Normln"/>
    <w:link w:val="RLProhlensmluvnchstranChar"/>
    <w:qFormat/>
    <w:pPr>
      <w:spacing w:after="120" w:line="280" w:lineRule="exact"/>
      <w:jc w:val="center"/>
    </w:pPr>
    <w:rPr>
      <w:b/>
    </w:rPr>
  </w:style>
  <w:style w:type="paragraph" w:styleId="Bezmezer">
    <w:name w:val="No Spacing"/>
    <w:link w:val="BezmezerChar"/>
    <w:uiPriority w:val="1"/>
    <w:qFormat/>
    <w:rPr>
      <w:rFonts w:ascii="Calibri" w:eastAsiaTheme="minorEastAsia" w:hAnsi="Calibri" w:cs="Arial"/>
      <w:lang w:eastAsia="cs-CZ"/>
    </w:rPr>
  </w:style>
  <w:style w:type="paragraph" w:styleId="Textpoznpodarou">
    <w:name w:val="footnote text"/>
    <w:basedOn w:val="Normln"/>
    <w:link w:val="TextpoznpodarouChar"/>
    <w:uiPriority w:val="99"/>
    <w:semiHidden/>
    <w:unhideWhenUsed/>
    <w:rPr>
      <w:sz w:val="20"/>
      <w:szCs w:val="20"/>
    </w:rPr>
  </w:style>
  <w:style w:type="paragraph" w:customStyle="1" w:styleId="Default">
    <w:name w:val="Default"/>
    <w:qFormat/>
    <w:rPr>
      <w:rFonts w:ascii="Calibri" w:eastAsia="Calibri" w:hAnsi="Calibri" w:cs="Calibri"/>
      <w:color w:val="000000"/>
      <w:sz w:val="24"/>
      <w:szCs w:val="24"/>
    </w:rPr>
  </w:style>
  <w:style w:type="paragraph" w:customStyle="1" w:styleId="Odstavce">
    <w:name w:val="Odstavce"/>
    <w:basedOn w:val="Normln"/>
    <w:link w:val="OdstavceChar"/>
    <w:qFormat/>
    <w:pPr>
      <w:spacing w:after="200" w:line="276" w:lineRule="auto"/>
    </w:pPr>
    <w:rPr>
      <w:rFonts w:ascii="Arial" w:eastAsia="Calibri" w:hAnsi="Arial"/>
      <w:sz w:val="20"/>
      <w:szCs w:val="20"/>
    </w:rPr>
  </w:style>
  <w:style w:type="table" w:customStyle="1" w:styleId="TableGridLight">
    <w:name w:val="Table Grid Light"/>
    <w:basedOn w:val="Normlntabulk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lntabulka"/>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rPr>
      <w:tblPr/>
      <w:tcPr>
        <w:tcBorders>
          <w:bottom w:val="single" w:sz="12" w:space="0" w:color="4F81BD"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Normlntabulka"/>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Normlntabulka"/>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rPr>
      <w:tblPr/>
      <w:tcPr>
        <w:tcBorders>
          <w:bottom w:val="single" w:sz="12" w:space="0" w:color="9BBB59"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Normlntabulka"/>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rPr>
      <w:tblPr/>
      <w:tcPr>
        <w:tcBorders>
          <w:bottom w:val="single" w:sz="12" w:space="0" w:color="8064A2"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Normlntabulka"/>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rPr>
      <w:tblPr/>
      <w:tcPr>
        <w:tcBorders>
          <w:bottom w:val="single" w:sz="12" w:space="0" w:color="4BACC6"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Normlntabulka"/>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rPr>
      <w:tblPr/>
      <w:tcPr>
        <w:tcBorders>
          <w:bottom w:val="single" w:sz="12" w:space="0" w:color="F79646"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GridTable2-Accent1">
    <w:name w:val="Grid Table 2 - Accent 1"/>
    <w:basedOn w:val="Normlntabulk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customStyle="1" w:styleId="GridTable2-Accent2">
    <w:name w:val="Grid Table 2 - Accent 2"/>
    <w:basedOn w:val="Normlntabulk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2-Accent3">
    <w:name w:val="Grid Table 2 - Accent 3"/>
    <w:basedOn w:val="Normlntabulk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2-Accent4">
    <w:name w:val="Grid Table 2 - Accent 4"/>
    <w:basedOn w:val="Normlntabulk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2-Accent5">
    <w:name w:val="Grid Table 2 - Accent 5"/>
    <w:basedOn w:val="Normlntabulk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2-Accent6">
    <w:name w:val="Grid Table 2 - Accent 6"/>
    <w:basedOn w:val="Normlntabulk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GridTable3-Accent1">
    <w:name w:val="Grid Table 3 - Accent 1"/>
    <w:basedOn w:val="Normlntabulk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customStyle="1" w:styleId="GridTable3-Accent2">
    <w:name w:val="Grid Table 3 - Accent 2"/>
    <w:basedOn w:val="Normlntabulk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3-Accent3">
    <w:name w:val="Grid Table 3 - Accent 3"/>
    <w:basedOn w:val="Normlntabulk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3-Accent4">
    <w:name w:val="Grid Table 3 - Accent 4"/>
    <w:basedOn w:val="Normlntabulk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3-Accent5">
    <w:name w:val="Grid Table 3 - Accent 5"/>
    <w:basedOn w:val="Normlntabulk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3-Accent6">
    <w:name w:val="Grid Table 3 - Accent 6"/>
    <w:basedOn w:val="Normlntabulk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GridTable4-Accent1">
    <w:name w:val="Grid Table 4 - Accent 1"/>
    <w:basedOn w:val="Normlntabulka"/>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rPr>
      <w:tblPr/>
      <w:tcPr>
        <w:tcBorders>
          <w:top w:val="single" w:sz="4" w:space="0" w:color="4F81BD" w:themeColor="accent1"/>
        </w:tcBorders>
      </w:tcPr>
    </w:tblStylePr>
    <w:tblStylePr w:type="firstCol">
      <w:rPr>
        <w:b/>
      </w:rPr>
    </w:tblStylePr>
    <w:tblStylePr w:type="lastCol">
      <w:rPr>
        <w:b/>
      </w:rPr>
    </w:tblStylePr>
    <w:tblStylePr w:type="band1Vert">
      <w:rPr>
        <w:sz w:val="22"/>
      </w:rPr>
      <w:tblPr/>
      <w:tcPr>
        <w:shd w:val="clear" w:color="DCE6F2" w:fill="DCE6F2" w:themeFill="accent1" w:themeFillTint="32"/>
      </w:tcPr>
    </w:tblStylePr>
    <w:tblStylePr w:type="band1Horz">
      <w:rPr>
        <w:sz w:val="22"/>
      </w:rPr>
      <w:tblPr/>
      <w:tcPr>
        <w:shd w:val="clear" w:color="DCE6F2" w:fill="DCE6F2" w:themeFill="accent1" w:themeFillTint="32"/>
      </w:tcPr>
    </w:tblStylePr>
  </w:style>
  <w:style w:type="table" w:customStyle="1" w:styleId="GridTable4-Accent2">
    <w:name w:val="Grid Table 4 - Accent 2"/>
    <w:basedOn w:val="Normlntabulka"/>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rPr>
      <w:tblPr/>
      <w:tcPr>
        <w:tcBorders>
          <w:top w:val="single" w:sz="4" w:space="0" w:color="C0504D" w:themeColor="accent2"/>
        </w:tcBorders>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4-Accent3">
    <w:name w:val="Grid Table 4 - Accent 3"/>
    <w:basedOn w:val="Normlntabulka"/>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rPr>
      <w:tblPr/>
      <w:tcPr>
        <w:tcBorders>
          <w:top w:val="single" w:sz="4" w:space="0" w:color="9BBB59" w:themeColor="accent3"/>
        </w:tcBorders>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4-Accent4">
    <w:name w:val="Grid Table 4 - Accent 4"/>
    <w:basedOn w:val="Normlntabulka"/>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rPr>
      <w:tblPr/>
      <w:tcPr>
        <w:tcBorders>
          <w:top w:val="single" w:sz="4" w:space="0" w:color="8064A2" w:themeColor="accent4"/>
        </w:tcBorders>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4-Accent5">
    <w:name w:val="Grid Table 4 - Accent 5"/>
    <w:basedOn w:val="Normlntabulka"/>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rPr>
      <w:tblPr/>
      <w:tcPr>
        <w:tcBorders>
          <w:top w:val="single" w:sz="4" w:space="0" w:color="4BACC6" w:themeColor="accent5"/>
        </w:tcBorders>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4-Accent6">
    <w:name w:val="Grid Table 4 - Accent 6"/>
    <w:basedOn w:val="Normlntabulka"/>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rPr>
      <w:tblPr/>
      <w:tcPr>
        <w:tcBorders>
          <w:top w:val="single" w:sz="4" w:space="0" w:color="F79646" w:themeColor="accent6"/>
        </w:tcBorders>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GridTable5Dark-Accent2">
    <w:name w:val="Grid Table 5 Dark - Accent 2"/>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C0504D" w:fill="C0504D" w:themeFill="accent2"/>
      </w:tcPr>
    </w:tblStylePr>
    <w:tblStylePr w:type="lastRow">
      <w:rPr>
        <w:b/>
        <w:sz w:val="22"/>
      </w:rPr>
      <w:tblPr/>
      <w:tcPr>
        <w:tcBorders>
          <w:top w:val="single" w:sz="4" w:space="0" w:color="FFFFFF" w:themeColor="light1"/>
        </w:tcBorders>
        <w:shd w:val="clear" w:color="C0504D" w:fill="C0504D" w:themeFill="accent2"/>
      </w:tcPr>
    </w:tblStylePr>
    <w:tblStylePr w:type="firstCol">
      <w:rPr>
        <w:b/>
        <w:sz w:val="22"/>
      </w:rPr>
      <w:tblPr/>
      <w:tcPr>
        <w:shd w:val="clear" w:color="C0504D" w:fill="C0504D" w:themeFill="accent2"/>
      </w:tcPr>
    </w:tblStylePr>
    <w:tblStylePr w:type="lastCol">
      <w:rPr>
        <w:b/>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9BBB59" w:fill="9BBB59" w:themeFill="accent3"/>
      </w:tcPr>
    </w:tblStylePr>
    <w:tblStylePr w:type="lastRow">
      <w:rPr>
        <w:b/>
        <w:sz w:val="22"/>
      </w:rPr>
      <w:tblPr/>
      <w:tcPr>
        <w:tcBorders>
          <w:top w:val="single" w:sz="4" w:space="0" w:color="FFFFFF" w:themeColor="light1"/>
        </w:tcBorders>
        <w:shd w:val="clear" w:color="9BBB59" w:fill="9BBB59" w:themeFill="accent3"/>
      </w:tcPr>
    </w:tblStylePr>
    <w:tblStylePr w:type="firstCol">
      <w:rPr>
        <w:b/>
        <w:sz w:val="22"/>
      </w:rPr>
      <w:tblPr/>
      <w:tcPr>
        <w:shd w:val="clear" w:color="9BBB59" w:fill="9BBB59" w:themeFill="accent3"/>
      </w:tcPr>
    </w:tblStylePr>
    <w:tblStylePr w:type="lastCol">
      <w:rPr>
        <w:b/>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5">
    <w:name w:val="Grid Table 5 Dark - Accent 5"/>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BACC6" w:fill="4BACC6" w:themeFill="accent5"/>
      </w:tcPr>
    </w:tblStylePr>
    <w:tblStylePr w:type="lastRow">
      <w:rPr>
        <w:b/>
        <w:sz w:val="22"/>
      </w:rPr>
      <w:tblPr/>
      <w:tcPr>
        <w:tcBorders>
          <w:top w:val="single" w:sz="4" w:space="0" w:color="FFFFFF" w:themeColor="light1"/>
        </w:tcBorders>
        <w:shd w:val="clear" w:color="4BACC6" w:fill="4BACC6" w:themeFill="accent5"/>
      </w:tcPr>
    </w:tblStylePr>
    <w:tblStylePr w:type="firstCol">
      <w:rPr>
        <w:b/>
        <w:sz w:val="22"/>
      </w:rPr>
      <w:tblPr/>
      <w:tcPr>
        <w:shd w:val="clear" w:color="4BACC6" w:fill="4BACC6" w:themeFill="accent5"/>
      </w:tcPr>
    </w:tblStylePr>
    <w:tblStylePr w:type="lastCol">
      <w:rPr>
        <w:b/>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79646" w:fill="F79646" w:themeFill="accent6"/>
      </w:tcPr>
    </w:tblStylePr>
    <w:tblStylePr w:type="lastRow">
      <w:rPr>
        <w:b/>
        <w:sz w:val="22"/>
      </w:rPr>
      <w:tblPr/>
      <w:tcPr>
        <w:tcBorders>
          <w:top w:val="single" w:sz="4" w:space="0" w:color="FFFFFF" w:themeColor="light1"/>
        </w:tcBorders>
        <w:shd w:val="clear" w:color="F79646" w:fill="F79646" w:themeFill="accent6"/>
      </w:tcPr>
    </w:tblStylePr>
    <w:tblStylePr w:type="firstCol">
      <w:rPr>
        <w:b/>
        <w:sz w:val="22"/>
      </w:rPr>
      <w:tblPr/>
      <w:tcPr>
        <w:shd w:val="clear" w:color="F79646" w:fill="F79646" w:themeFill="accent6"/>
      </w:tcPr>
    </w:tblStylePr>
    <w:tblStylePr w:type="lastCol">
      <w:rPr>
        <w:b/>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GridTable6Colorful-Accent1">
    <w:name w:val="Grid Table 6 Colorful - Accent 1"/>
    <w:basedOn w:val="Normlntabulka"/>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basedOn w:val="Normlntabulk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basedOn w:val="Normlntabulka"/>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basedOn w:val="Normlntabulk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basedOn w:val="Normlntabulka"/>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basedOn w:val="Normlntabulka"/>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GridTable7Colorful-Accent1">
    <w:name w:val="Grid Table 7 Colorful - Accent 1"/>
    <w:basedOn w:val="Normlntabulka"/>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basedOn w:val="Normlntabulka"/>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0" w:space="0" w:color="000000"/>
          <w:left w:val="none" w:sz="0" w:space="0" w:color="000000"/>
          <w:bottom w:val="single" w:sz="4" w:space="0" w:color="C0504D" w:themeColor="accent2"/>
          <w:right w:val="none" w:sz="0" w:space="0" w:color="000000"/>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000000"/>
          <w:left w:val="none" w:sz="0" w:space="0" w:color="000000"/>
          <w:bottom w:val="none" w:sz="0"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000000"/>
          <w:left w:val="single" w:sz="4" w:space="0" w:color="C0504D" w:themeColor="accent2"/>
          <w:bottom w:val="none" w:sz="0" w:space="0" w:color="000000"/>
          <w:right w:val="none" w:sz="0" w:space="0" w:color="000000"/>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basedOn w:val="Normlntabulka"/>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0" w:space="0" w:color="000000"/>
          <w:left w:val="none" w:sz="0" w:space="0" w:color="000000"/>
          <w:bottom w:val="single" w:sz="4" w:space="0" w:color="9BBB59" w:themeColor="accent3"/>
          <w:right w:val="none" w:sz="0" w:space="0" w:color="000000"/>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000000"/>
          <w:left w:val="none" w:sz="0" w:space="0" w:color="000000"/>
          <w:bottom w:val="none" w:sz="0" w:space="0" w:color="000000"/>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000000"/>
          <w:left w:val="single" w:sz="4" w:space="0" w:color="9BBB59" w:themeColor="accent3"/>
          <w:bottom w:val="none" w:sz="0" w:space="0" w:color="000000"/>
          <w:right w:val="none" w:sz="0" w:space="0" w:color="000000"/>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basedOn w:val="Normlntabulka"/>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0" w:space="0" w:color="000000"/>
          <w:left w:val="none" w:sz="0" w:space="0" w:color="000000"/>
          <w:bottom w:val="single" w:sz="4" w:space="0" w:color="8064A2" w:themeColor="accent4"/>
          <w:right w:val="none" w:sz="0" w:space="0" w:color="000000"/>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000000"/>
          <w:left w:val="none" w:sz="0" w:space="0" w:color="000000"/>
          <w:bottom w:val="none" w:sz="0"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000000"/>
          <w:left w:val="single" w:sz="4" w:space="0" w:color="8064A2" w:themeColor="accent4"/>
          <w:bottom w:val="none" w:sz="0" w:space="0" w:color="000000"/>
          <w:right w:val="none" w:sz="0" w:space="0" w:color="000000"/>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basedOn w:val="Normlntabulka"/>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0" w:space="0" w:color="000000"/>
          <w:left w:val="none" w:sz="0" w:space="0" w:color="000000"/>
          <w:bottom w:val="single" w:sz="4" w:space="0" w:color="4BACC6" w:themeColor="accent5"/>
          <w:right w:val="none" w:sz="0" w:space="0" w:color="000000"/>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266779" w:themeColor="accent5" w:themeShade="95"/>
        <w:sz w:val="22"/>
      </w:rPr>
      <w:tblPr/>
      <w:tcPr>
        <w:tcBorders>
          <w:top w:val="none" w:sz="0" w:space="0" w:color="000000"/>
          <w:left w:val="none" w:sz="0" w:space="0" w:color="000000"/>
          <w:bottom w:val="none" w:sz="0" w:space="0" w:color="000000"/>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000000"/>
          <w:left w:val="single" w:sz="4" w:space="0" w:color="4BACC6" w:themeColor="accent5"/>
          <w:bottom w:val="none" w:sz="0" w:space="0" w:color="000000"/>
          <w:right w:val="none" w:sz="0" w:space="0" w:color="000000"/>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basedOn w:val="Normlntabulka"/>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0" w:space="0" w:color="000000"/>
          <w:left w:val="none" w:sz="0" w:space="0" w:color="000000"/>
          <w:bottom w:val="single" w:sz="4" w:space="0" w:color="F79646" w:themeColor="accent6"/>
          <w:right w:val="none" w:sz="0" w:space="0" w:color="000000"/>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B15407" w:themeColor="accent6" w:themeShade="95"/>
        <w:sz w:val="22"/>
      </w:rPr>
      <w:tblPr/>
      <w:tcPr>
        <w:tcBorders>
          <w:top w:val="none" w:sz="0" w:space="0" w:color="000000"/>
          <w:left w:val="none" w:sz="0" w:space="0" w:color="000000"/>
          <w:bottom w:val="none" w:sz="0" w:space="0" w:color="000000"/>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000000"/>
          <w:left w:val="single" w:sz="4" w:space="0" w:color="F79646" w:themeColor="accent6"/>
          <w:bottom w:val="none" w:sz="0" w:space="0" w:color="000000"/>
          <w:right w:val="none" w:sz="0" w:space="0" w:color="000000"/>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ListTable1Light-Accent1">
    <w:name w:val="List Table 1 Light - Accent 1"/>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ListTable2-Accent1">
    <w:name w:val="List Table 2 - Accent 1"/>
    <w:basedOn w:val="Normlntabulka"/>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customStyle="1" w:styleId="ListTable2-Accent2">
    <w:name w:val="List Table 2 - Accent 2"/>
    <w:basedOn w:val="Normlntabulka"/>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customStyle="1" w:styleId="ListTable2-Accent3">
    <w:name w:val="List Table 2 - Accent 3"/>
    <w:basedOn w:val="Normlntabulka"/>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customStyle="1" w:styleId="ListTable2-Accent4">
    <w:name w:val="List Table 2 - Accent 4"/>
    <w:basedOn w:val="Normlntabulka"/>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customStyle="1" w:styleId="ListTable2-Accent5">
    <w:name w:val="List Table 2 - Accent 5"/>
    <w:basedOn w:val="Normlntabulka"/>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customStyle="1" w:styleId="ListTable2-Accent6">
    <w:name w:val="List Table 2 - Accent 6"/>
    <w:basedOn w:val="Normlntabulka"/>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customStyle="1" w:styleId="ListTable3-Accent1">
    <w:name w:val="List Table 3 - Accent 1"/>
    <w:basedOn w:val="Normlntabulka"/>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F81BD" w:themeColor="accent1"/>
          <w:right w:val="single" w:sz="4" w:space="0" w:color="4F81BD" w:themeColor="accent1"/>
        </w:tcBorders>
      </w:tcPr>
    </w:tblStylePr>
    <w:tblStylePr w:type="band1Horz">
      <w:rPr>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lntabulk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sz w:val="22"/>
      </w:rPr>
      <w:tblPr/>
      <w:tcPr>
        <w:shd w:val="clear" w:color="D99695" w:fill="D9969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C0504D" w:themeColor="accent2"/>
          <w:right w:val="single" w:sz="4" w:space="0" w:color="C0504D" w:themeColor="accent2"/>
        </w:tcBorders>
      </w:tcPr>
    </w:tblStylePr>
    <w:tblStylePr w:type="band1Horz">
      <w:rPr>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Normlntabulka"/>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sz w:val="22"/>
      </w:rPr>
      <w:tblPr/>
      <w:tcPr>
        <w:shd w:val="clear" w:color="C3D69B" w:fill="C3D69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9BBB59" w:themeColor="accent3"/>
          <w:right w:val="single" w:sz="4" w:space="0" w:color="9BBB59" w:themeColor="accent3"/>
        </w:tcBorders>
      </w:tcPr>
    </w:tblStylePr>
    <w:tblStylePr w:type="band1Horz">
      <w:rPr>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Normlntabulk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sz w:val="22"/>
      </w:rPr>
      <w:tblPr/>
      <w:tcPr>
        <w:shd w:val="clear" w:color="B2A1C6" w:fill="B2A1C6"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8064A2" w:themeColor="accent4"/>
          <w:right w:val="single" w:sz="4" w:space="0" w:color="8064A2" w:themeColor="accent4"/>
        </w:tcBorders>
      </w:tcPr>
    </w:tblStylePr>
    <w:tblStylePr w:type="band1Horz">
      <w:rPr>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Normlntabulka"/>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sz w:val="22"/>
      </w:rPr>
      <w:tblPr/>
      <w:tcPr>
        <w:shd w:val="clear" w:color="92CCDC" w:fill="92CCDC"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4BACC6" w:themeColor="accent5"/>
          <w:right w:val="single" w:sz="4" w:space="0" w:color="4BACC6" w:themeColor="accent5"/>
        </w:tcBorders>
      </w:tcPr>
    </w:tblStylePr>
    <w:tblStylePr w:type="band1Horz">
      <w:rPr>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Normlntabulka"/>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sz w:val="22"/>
      </w:rPr>
      <w:tblPr/>
      <w:tcPr>
        <w:shd w:val="clear" w:color="FAC090" w:fill="FAC090"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F79646" w:themeColor="accent6"/>
          <w:right w:val="single" w:sz="4" w:space="0" w:color="F79646" w:themeColor="accent6"/>
        </w:tcBorders>
      </w:tcPr>
    </w:tblStylePr>
    <w:tblStylePr w:type="band1Horz">
      <w:rPr>
        <w:sz w:val="22"/>
      </w:rPr>
      <w:tblPr/>
      <w:tcPr>
        <w:tcBorders>
          <w:top w:val="single" w:sz="4" w:space="0" w:color="F79646" w:themeColor="accent6"/>
          <w:bottom w:val="single" w:sz="4" w:space="0" w:color="F79646" w:themeColor="accent6"/>
        </w:tcBorders>
      </w:tcPr>
    </w:tblStylePr>
  </w:style>
  <w:style w:type="table" w:customStyle="1" w:styleId="ListTable4-Accent1">
    <w:name w:val="List Table 4 - Accent 1"/>
    <w:basedOn w:val="Normlntabulka"/>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customStyle="1" w:styleId="ListTable4-Accent2">
    <w:name w:val="List Table 4 - Accent 2"/>
    <w:basedOn w:val="Normlntabulka"/>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sz w:val="22"/>
      </w:rPr>
      <w:tblPr/>
      <w:tcPr>
        <w:shd w:val="clear" w:color="C0504D" w:fill="C0504D" w:themeFill="accent2"/>
      </w:tcPr>
    </w:tblStylePr>
    <w:tblStylePr w:type="lastRow">
      <w:rPr>
        <w:b/>
      </w:rPr>
    </w:tblStylePr>
    <w:tblStylePr w:type="firstCol">
      <w:rPr>
        <w:b/>
      </w:rPr>
    </w:tblStylePr>
    <w:tblStylePr w:type="lastCol">
      <w:rPr>
        <w:b/>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customStyle="1" w:styleId="ListTable4-Accent3">
    <w:name w:val="List Table 4 - Accent 3"/>
    <w:basedOn w:val="Normlntabulka"/>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sz w:val="22"/>
      </w:rPr>
      <w:tblPr/>
      <w:tcPr>
        <w:shd w:val="clear" w:color="9BBB59" w:fill="9BBB59" w:themeFill="accent3"/>
      </w:tcPr>
    </w:tblStylePr>
    <w:tblStylePr w:type="lastRow">
      <w:rPr>
        <w:b/>
      </w:rPr>
    </w:tblStylePr>
    <w:tblStylePr w:type="firstCol">
      <w:rPr>
        <w:b/>
      </w:rPr>
    </w:tblStylePr>
    <w:tblStylePr w:type="lastCol">
      <w:rPr>
        <w:b/>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customStyle="1" w:styleId="ListTable4-Accent4">
    <w:name w:val="List Table 4 - Accent 4"/>
    <w:basedOn w:val="Normlntabulka"/>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sz w:val="22"/>
      </w:rPr>
      <w:tblPr/>
      <w:tcPr>
        <w:shd w:val="clear" w:color="8064A2" w:fill="8064A2" w:themeFill="accent4"/>
      </w:tcPr>
    </w:tblStylePr>
    <w:tblStylePr w:type="lastRow">
      <w:rPr>
        <w:b/>
      </w:rPr>
    </w:tblStylePr>
    <w:tblStylePr w:type="firstCol">
      <w:rPr>
        <w:b/>
      </w:rPr>
    </w:tblStylePr>
    <w:tblStylePr w:type="lastCol">
      <w:rPr>
        <w:b/>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customStyle="1" w:styleId="ListTable4-Accent5">
    <w:name w:val="List Table 4 - Accent 5"/>
    <w:basedOn w:val="Normlntabulka"/>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sz w:val="22"/>
      </w:rPr>
      <w:tblPr/>
      <w:tcPr>
        <w:shd w:val="clear" w:color="4BACC6" w:fill="4BACC6" w:themeFill="accent5"/>
      </w:tcPr>
    </w:tblStylePr>
    <w:tblStylePr w:type="lastRow">
      <w:rPr>
        <w:b/>
      </w:rPr>
    </w:tblStylePr>
    <w:tblStylePr w:type="firstCol">
      <w:rPr>
        <w:b/>
      </w:rPr>
    </w:tblStylePr>
    <w:tblStylePr w:type="lastCol">
      <w:rPr>
        <w:b/>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customStyle="1" w:styleId="ListTable4-Accent6">
    <w:name w:val="List Table 4 - Accent 6"/>
    <w:basedOn w:val="Normlntabulka"/>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sz w:val="22"/>
      </w:rPr>
      <w:tblPr/>
      <w:tcPr>
        <w:shd w:val="clear" w:color="F79646" w:fill="F79646" w:themeFill="accent6"/>
      </w:tcPr>
    </w:tblStylePr>
    <w:tblStylePr w:type="lastRow">
      <w:rPr>
        <w:b/>
      </w:rPr>
    </w:tblStylePr>
    <w:tblStylePr w:type="firstCol">
      <w:rPr>
        <w:b/>
      </w:rPr>
    </w:tblStylePr>
    <w:tblStylePr w:type="lastCol">
      <w:rPr>
        <w:b/>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customStyle="1" w:styleId="ListTable5Dark-Accent1">
    <w:name w:val="List Table 5 Dark - Accent 1"/>
    <w:basedOn w:val="Normlntabulka"/>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Normlntabulka"/>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Normlntabulka"/>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Normlntabulka"/>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Normlntabulka"/>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Normlntabulka"/>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ListTable6Colorful-Accent1">
    <w:name w:val="List Table 6 Colorful - Accent 1"/>
    <w:basedOn w:val="Normlntabulka"/>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basedOn w:val="Normlntabulka"/>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basedOn w:val="Normlntabulka"/>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basedOn w:val="Normlntabulka"/>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basedOn w:val="Normlntabulka"/>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basedOn w:val="Normlntabulka"/>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stTable7Colorful-Accent1">
    <w:name w:val="List Table 7 Colorful - Accent 1"/>
    <w:basedOn w:val="Normlntabulka"/>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basedOn w:val="Normlntabulka"/>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0" w:space="0" w:color="000000"/>
          <w:left w:val="none" w:sz="0" w:space="0" w:color="000000"/>
          <w:bottom w:val="single" w:sz="4" w:space="0" w:color="C0504D" w:themeColor="accent2"/>
          <w:right w:val="none" w:sz="0" w:space="0" w:color="000000"/>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000000"/>
          <w:left w:val="none" w:sz="0" w:space="0" w:color="000000"/>
          <w:bottom w:val="none" w:sz="0"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000000"/>
          <w:left w:val="single" w:sz="4" w:space="0" w:color="C0504D" w:themeColor="accent2"/>
          <w:bottom w:val="none" w:sz="0" w:space="0" w:color="000000"/>
          <w:right w:val="none" w:sz="0" w:space="0" w:color="000000"/>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basedOn w:val="Normlntabulka"/>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0" w:space="0" w:color="000000"/>
          <w:left w:val="none" w:sz="0" w:space="0" w:color="000000"/>
          <w:bottom w:val="single" w:sz="4" w:space="0" w:color="9BBB59" w:themeColor="accent3"/>
          <w:right w:val="none" w:sz="0" w:space="0" w:color="000000"/>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000000"/>
          <w:left w:val="none" w:sz="0" w:space="0" w:color="000000"/>
          <w:bottom w:val="none" w:sz="0" w:space="0" w:color="000000"/>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000000"/>
          <w:left w:val="single" w:sz="4" w:space="0" w:color="9BBB59" w:themeColor="accent3"/>
          <w:bottom w:val="none" w:sz="0" w:space="0" w:color="000000"/>
          <w:right w:val="none" w:sz="0" w:space="0" w:color="000000"/>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basedOn w:val="Normlntabulka"/>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0" w:space="0" w:color="000000"/>
          <w:left w:val="none" w:sz="0" w:space="0" w:color="000000"/>
          <w:bottom w:val="single" w:sz="4" w:space="0" w:color="8064A2" w:themeColor="accent4"/>
          <w:right w:val="none" w:sz="0" w:space="0" w:color="000000"/>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000000"/>
          <w:left w:val="none" w:sz="0" w:space="0" w:color="000000"/>
          <w:bottom w:val="none" w:sz="0"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000000"/>
          <w:left w:val="single" w:sz="4" w:space="0" w:color="8064A2" w:themeColor="accent4"/>
          <w:bottom w:val="none" w:sz="0" w:space="0" w:color="000000"/>
          <w:right w:val="none" w:sz="0" w:space="0" w:color="000000"/>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basedOn w:val="Normlntabulka"/>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0" w:space="0" w:color="000000"/>
          <w:left w:val="none" w:sz="0" w:space="0" w:color="000000"/>
          <w:bottom w:val="single" w:sz="4" w:space="0" w:color="4BACC6" w:themeColor="accent5"/>
          <w:right w:val="none" w:sz="0" w:space="0" w:color="000000"/>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000000"/>
          <w:left w:val="none" w:sz="0" w:space="0" w:color="000000"/>
          <w:bottom w:val="none" w:sz="0" w:space="0" w:color="000000"/>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000000"/>
          <w:left w:val="single" w:sz="4" w:space="0" w:color="4BACC6" w:themeColor="accent5"/>
          <w:bottom w:val="none" w:sz="0" w:space="0" w:color="000000"/>
          <w:right w:val="none" w:sz="0" w:space="0" w:color="000000"/>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basedOn w:val="Normlntabulka"/>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0" w:space="0" w:color="000000"/>
          <w:left w:val="none" w:sz="0" w:space="0" w:color="000000"/>
          <w:bottom w:val="single" w:sz="4" w:space="0" w:color="F79646" w:themeColor="accent6"/>
          <w:right w:val="none" w:sz="0" w:space="0" w:color="000000"/>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000000"/>
          <w:bottom w:val="none" w:sz="0" w:space="0" w:color="000000"/>
          <w:right w:val="none" w:sz="0" w:space="0" w:color="000000"/>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000000"/>
          <w:left w:val="none" w:sz="0" w:space="0" w:color="000000"/>
          <w:bottom w:val="none" w:sz="0" w:space="0" w:color="000000"/>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000000"/>
          <w:left w:val="single" w:sz="4" w:space="0" w:color="F79646" w:themeColor="accent6"/>
          <w:bottom w:val="none" w:sz="0" w:space="0" w:color="000000"/>
          <w:right w:val="none" w:sz="0" w:space="0" w:color="000000"/>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styleId="Svtlmkatabulky">
    <w:name w:val="Grid Table Light"/>
    <w:basedOn w:val="Normlntabulk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Svtltabulkasmkou1zvraznn1">
    <w:name w:val="Grid Table 1 Light Accent 1"/>
    <w:basedOn w:val="Normlntabulka"/>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rPr>
      <w:tblPr/>
      <w:tcPr>
        <w:tcBorders>
          <w:bottom w:val="single" w:sz="12" w:space="0" w:color="4F81BD"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styleId="Svtltabulkasmkou1zvraznn2">
    <w:name w:val="Grid Table 1 Light Accent 2"/>
    <w:basedOn w:val="Normlntabulka"/>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styleId="Svtltabulkasmkou1zvraznn3">
    <w:name w:val="Grid Table 1 Light Accent 3"/>
    <w:basedOn w:val="Normlntabulka"/>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rPr>
      <w:tblPr/>
      <w:tcPr>
        <w:tcBorders>
          <w:bottom w:val="single" w:sz="12" w:space="0" w:color="9BBB59"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styleId="Svtltabulkasmkou1zvraznn4">
    <w:name w:val="Grid Table 1 Light Accent 4"/>
    <w:basedOn w:val="Normlntabulka"/>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rPr>
      <w:tblPr/>
      <w:tcPr>
        <w:tcBorders>
          <w:bottom w:val="single" w:sz="12" w:space="0" w:color="8064A2"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styleId="Svtltabulkasmkou1zvraznn5">
    <w:name w:val="Grid Table 1 Light Accent 5"/>
    <w:basedOn w:val="Normlntabulka"/>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rPr>
      <w:tblPr/>
      <w:tcPr>
        <w:tcBorders>
          <w:bottom w:val="single" w:sz="12" w:space="0" w:color="4BACC6"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styleId="Svtltabulkasmkou1zvraznn6">
    <w:name w:val="Grid Table 1 Light Accent 6"/>
    <w:basedOn w:val="Normlntabulka"/>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rPr>
      <w:tblPr/>
      <w:tcPr>
        <w:tcBorders>
          <w:bottom w:val="single" w:sz="12" w:space="0" w:color="F79646"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Tabulkasmkou2zvraznn1">
    <w:name w:val="Grid Table 2 Accent 1"/>
    <w:basedOn w:val="Normlntabulk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styleId="Tabulkasmkou2zvraznn2">
    <w:name w:val="Grid Table 2 Accent 2"/>
    <w:basedOn w:val="Normlntabulk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styleId="Tabulkasmkou2zvraznn3">
    <w:name w:val="Grid Table 2 Accent 3"/>
    <w:basedOn w:val="Normlntabulk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styleId="Tabulkasmkou2zvraznn4">
    <w:name w:val="Grid Table 2 Accent 4"/>
    <w:basedOn w:val="Normlntabulk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styleId="Tabulkasmkou2zvraznn5">
    <w:name w:val="Grid Table 2 Accent 5"/>
    <w:basedOn w:val="Normlntabulk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styleId="Tabulkasmkou2zvraznn6">
    <w:name w:val="Grid Table 2 Accent 6"/>
    <w:basedOn w:val="Normlntabulk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styleId="Tabulkasmkou3zvraznn1">
    <w:name w:val="Grid Table 3 Accent 1"/>
    <w:basedOn w:val="Normlntabulk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styleId="Tabulkasmkou3zvraznn2">
    <w:name w:val="Grid Table 3 Accent 2"/>
    <w:basedOn w:val="Normlntabulk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styleId="Tabulkasmkou3zvraznn3">
    <w:name w:val="Grid Table 3 Accent 3"/>
    <w:basedOn w:val="Normlntabulk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styleId="Tabulkasmkou3zvraznn4">
    <w:name w:val="Grid Table 3 Accent 4"/>
    <w:basedOn w:val="Normlntabulk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styleId="Tabulkasmkou3zvraznn5">
    <w:name w:val="Grid Table 3 Accent 5"/>
    <w:basedOn w:val="Normlntabulk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styleId="Tabulkasmkou3zvraznn6">
    <w:name w:val="Grid Table 3 Accent 6"/>
    <w:basedOn w:val="Normlntabulk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styleId="Tabulkasmkou4zvraznn1">
    <w:name w:val="Grid Table 4 Accent 1"/>
    <w:basedOn w:val="Normlntabulka"/>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rPr>
      <w:tblPr/>
      <w:tcPr>
        <w:tcBorders>
          <w:top w:val="single" w:sz="4" w:space="0" w:color="4F81BD" w:themeColor="accent1"/>
        </w:tcBorders>
      </w:tcPr>
    </w:tblStylePr>
    <w:tblStylePr w:type="firstCol">
      <w:rPr>
        <w:b/>
      </w:rPr>
    </w:tblStylePr>
    <w:tblStylePr w:type="lastCol">
      <w:rPr>
        <w:b/>
      </w:rPr>
    </w:tblStylePr>
    <w:tblStylePr w:type="band1Vert">
      <w:rPr>
        <w:sz w:val="22"/>
      </w:rPr>
      <w:tblPr/>
      <w:tcPr>
        <w:shd w:val="clear" w:color="DCE6F2" w:fill="DCE6F2" w:themeFill="accent1" w:themeFillTint="32"/>
      </w:tcPr>
    </w:tblStylePr>
    <w:tblStylePr w:type="band1Horz">
      <w:rPr>
        <w:sz w:val="22"/>
      </w:rPr>
      <w:tblPr/>
      <w:tcPr>
        <w:shd w:val="clear" w:color="DCE6F2" w:fill="DCE6F2" w:themeFill="accent1" w:themeFillTint="32"/>
      </w:tcPr>
    </w:tblStylePr>
  </w:style>
  <w:style w:type="table" w:styleId="Tabulkasmkou4zvraznn2">
    <w:name w:val="Grid Table 4 Accent 2"/>
    <w:basedOn w:val="Normlntabulka"/>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rPr>
      <w:tblPr/>
      <w:tcPr>
        <w:tcBorders>
          <w:top w:val="single" w:sz="4" w:space="0" w:color="C0504D" w:themeColor="accent2"/>
        </w:tcBorders>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styleId="Tabulkasmkou4zvraznn3">
    <w:name w:val="Grid Table 4 Accent 3"/>
    <w:basedOn w:val="Normlntabulka"/>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rPr>
      <w:tblPr/>
      <w:tcPr>
        <w:tcBorders>
          <w:top w:val="single" w:sz="4" w:space="0" w:color="9BBB59" w:themeColor="accent3"/>
        </w:tcBorders>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styleId="Tabulkasmkou4zvraznn4">
    <w:name w:val="Grid Table 4 Accent 4"/>
    <w:basedOn w:val="Normlntabulka"/>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rPr>
      <w:tblPr/>
      <w:tcPr>
        <w:tcBorders>
          <w:top w:val="single" w:sz="4" w:space="0" w:color="8064A2" w:themeColor="accent4"/>
        </w:tcBorders>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styleId="Tabulkasmkou4zvraznn5">
    <w:name w:val="Grid Table 4 Accent 5"/>
    <w:basedOn w:val="Normlntabulka"/>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rPr>
      <w:tblPr/>
      <w:tcPr>
        <w:tcBorders>
          <w:top w:val="single" w:sz="4" w:space="0" w:color="4BACC6" w:themeColor="accent5"/>
        </w:tcBorders>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styleId="Tabulkasmkou4zvraznn6">
    <w:name w:val="Grid Table 4 Accent 6"/>
    <w:basedOn w:val="Normlntabulka"/>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rPr>
      <w:tblPr/>
      <w:tcPr>
        <w:tcBorders>
          <w:top w:val="single" w:sz="4" w:space="0" w:color="F79646" w:themeColor="accent6"/>
        </w:tcBorders>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styleId="Tmavtabulkasmkou5zvraznn2">
    <w:name w:val="Grid Table 5 Dark Accent 2"/>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C0504D" w:fill="C0504D" w:themeFill="accent2"/>
      </w:tcPr>
    </w:tblStylePr>
    <w:tblStylePr w:type="lastRow">
      <w:rPr>
        <w:b/>
        <w:sz w:val="22"/>
      </w:rPr>
      <w:tblPr/>
      <w:tcPr>
        <w:tcBorders>
          <w:top w:val="single" w:sz="4" w:space="0" w:color="FFFFFF" w:themeColor="light1"/>
        </w:tcBorders>
        <w:shd w:val="clear" w:color="C0504D" w:fill="C0504D" w:themeFill="accent2"/>
      </w:tcPr>
    </w:tblStylePr>
    <w:tblStylePr w:type="firstCol">
      <w:rPr>
        <w:b/>
        <w:sz w:val="22"/>
      </w:rPr>
      <w:tblPr/>
      <w:tcPr>
        <w:shd w:val="clear" w:color="C0504D" w:fill="C0504D" w:themeFill="accent2"/>
      </w:tcPr>
    </w:tblStylePr>
    <w:tblStylePr w:type="lastCol">
      <w:rPr>
        <w:b/>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styleId="Tmavtabulkasmkou5zvraznn3">
    <w:name w:val="Grid Table 5 Dark Accent 3"/>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9BBB59" w:fill="9BBB59" w:themeFill="accent3"/>
      </w:tcPr>
    </w:tblStylePr>
    <w:tblStylePr w:type="lastRow">
      <w:rPr>
        <w:b/>
        <w:sz w:val="22"/>
      </w:rPr>
      <w:tblPr/>
      <w:tcPr>
        <w:tcBorders>
          <w:top w:val="single" w:sz="4" w:space="0" w:color="FFFFFF" w:themeColor="light1"/>
        </w:tcBorders>
        <w:shd w:val="clear" w:color="9BBB59" w:fill="9BBB59" w:themeFill="accent3"/>
      </w:tcPr>
    </w:tblStylePr>
    <w:tblStylePr w:type="firstCol">
      <w:rPr>
        <w:b/>
        <w:sz w:val="22"/>
      </w:rPr>
      <w:tblPr/>
      <w:tcPr>
        <w:shd w:val="clear" w:color="9BBB59" w:fill="9BBB59" w:themeFill="accent3"/>
      </w:tcPr>
    </w:tblStylePr>
    <w:tblStylePr w:type="lastCol">
      <w:rPr>
        <w:b/>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styleId="Tmavtabulkasmkou5zvraznn5">
    <w:name w:val="Grid Table 5 Dark Accent 5"/>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BACC6" w:fill="4BACC6" w:themeFill="accent5"/>
      </w:tcPr>
    </w:tblStylePr>
    <w:tblStylePr w:type="lastRow">
      <w:rPr>
        <w:b/>
        <w:sz w:val="22"/>
      </w:rPr>
      <w:tblPr/>
      <w:tcPr>
        <w:tcBorders>
          <w:top w:val="single" w:sz="4" w:space="0" w:color="FFFFFF" w:themeColor="light1"/>
        </w:tcBorders>
        <w:shd w:val="clear" w:color="4BACC6" w:fill="4BACC6" w:themeFill="accent5"/>
      </w:tcPr>
    </w:tblStylePr>
    <w:tblStylePr w:type="firstCol">
      <w:rPr>
        <w:b/>
        <w:sz w:val="22"/>
      </w:rPr>
      <w:tblPr/>
      <w:tcPr>
        <w:shd w:val="clear" w:color="4BACC6" w:fill="4BACC6" w:themeFill="accent5"/>
      </w:tcPr>
    </w:tblStylePr>
    <w:tblStylePr w:type="lastCol">
      <w:rPr>
        <w:b/>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styleId="Tmavtabulkasmkou5zvraznn6">
    <w:name w:val="Grid Table 5 Dark Accent 6"/>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79646" w:fill="F79646" w:themeFill="accent6"/>
      </w:tcPr>
    </w:tblStylePr>
    <w:tblStylePr w:type="lastRow">
      <w:rPr>
        <w:b/>
        <w:sz w:val="22"/>
      </w:rPr>
      <w:tblPr/>
      <w:tcPr>
        <w:tcBorders>
          <w:top w:val="single" w:sz="4" w:space="0" w:color="FFFFFF" w:themeColor="light1"/>
        </w:tcBorders>
        <w:shd w:val="clear" w:color="F79646" w:fill="F79646" w:themeFill="accent6"/>
      </w:tcPr>
    </w:tblStylePr>
    <w:tblStylePr w:type="firstCol">
      <w:rPr>
        <w:b/>
        <w:sz w:val="22"/>
      </w:rPr>
      <w:tblPr/>
      <w:tcPr>
        <w:shd w:val="clear" w:color="F79646" w:fill="F79646" w:themeFill="accent6"/>
      </w:tcPr>
    </w:tblStylePr>
    <w:tblStylePr w:type="lastCol">
      <w:rPr>
        <w:b/>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Barevntabulkasmkou6zvraznn1">
    <w:name w:val="Grid Table 6 Colorful Accent 1"/>
    <w:basedOn w:val="Normlntabulka"/>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styleId="Barevntabulkasmkou6zvraznn2">
    <w:name w:val="Grid Table 6 Colorful Accent 2"/>
    <w:basedOn w:val="Normlntabulk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styleId="Barevntabulkasmkou6zvraznn3">
    <w:name w:val="Grid Table 6 Colorful Accent 3"/>
    <w:basedOn w:val="Normlntabulka"/>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styleId="Barevntabulkasmkou6zvraznn4">
    <w:name w:val="Grid Table 6 Colorful Accent 4"/>
    <w:basedOn w:val="Normlntabulk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styleId="Barevntabulkasmkou6zvraznn5">
    <w:name w:val="Grid Table 6 Colorful Accent 5"/>
    <w:basedOn w:val="Normlntabulka"/>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styleId="Barevntabulkasmkou6zvraznn6">
    <w:name w:val="Grid Table 6 Colorful Accent 6"/>
    <w:basedOn w:val="Normlntabulka"/>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styleId="Barevntabulkasmkou7zvraznn1">
    <w:name w:val="Grid Table 7 Colorful Accent 1"/>
    <w:basedOn w:val="Normlntabulka"/>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A6BFDD" w:themeColor="accent1" w:themeTint="80"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styleId="Barevntabulkasmkou7zvraznn2">
    <w:name w:val="Grid Table 7 Colorful Accent 2"/>
    <w:basedOn w:val="Normlntabulka"/>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styleId="Barevntabulkasmkou7zvraznn3">
    <w:name w:val="Grid Table 7 Colorful Accent 3"/>
    <w:basedOn w:val="Normlntabulka"/>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ABB59" w:themeColor="accent3" w:themeTint="FE"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styleId="Barevntabulkasmkou7zvraznn4">
    <w:name w:val="Grid Table 7 Colorful Accent 4"/>
    <w:basedOn w:val="Normlntabulka"/>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styleId="Barevntabulkasmkou7zvraznn5">
    <w:name w:val="Grid Table 7 Colorful Accent 5"/>
    <w:basedOn w:val="Normlntabulka"/>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66779" w:themeColor="accent5"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266779" w:themeColor="accent5"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styleId="Barevntabulkasmkou7zvraznn6">
    <w:name w:val="Grid Table 7 Colorful Accent 6"/>
    <w:basedOn w:val="Normlntabulka"/>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15407" w:themeColor="accent6"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B15407" w:themeColor="accent6"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styleId="Svtltabulkaseznamu1zvraznn1">
    <w:name w:val="List Table 1 Light Accent 1"/>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styleId="Svtltabulkaseznamu1zvraznn2">
    <w:name w:val="List Table 1 Light Accent 2"/>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styleId="Svtltabulkaseznamu1zvraznn3">
    <w:name w:val="List Table 1 Light Accent 3"/>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styleId="Svtltabulkaseznamu1zvraznn4">
    <w:name w:val="List Table 1 Light Accent 4"/>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styleId="Svtltabulkaseznamu1zvraznn5">
    <w:name w:val="List Table 1 Light Accent 5"/>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styleId="Svtltabulkaseznamu1zvraznn6">
    <w:name w:val="List Table 1 Light Accent 6"/>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Tabulkaseznamu2zvraznn1">
    <w:name w:val="List Table 2 Accent 1"/>
    <w:basedOn w:val="Normlntabulka"/>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styleId="Tabulkaseznamu2zvraznn2">
    <w:name w:val="List Table 2 Accent 2"/>
    <w:basedOn w:val="Normlntabulka"/>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styleId="Tabulkaseznamu2zvraznn3">
    <w:name w:val="List Table 2 Accent 3"/>
    <w:basedOn w:val="Normlntabulka"/>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styleId="Tabulkaseznamu2zvraznn4">
    <w:name w:val="List Table 2 Accent 4"/>
    <w:basedOn w:val="Normlntabulka"/>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styleId="Tabulkaseznamu2zvraznn5">
    <w:name w:val="List Table 2 Accent 5"/>
    <w:basedOn w:val="Normlntabulka"/>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styleId="Tabulkaseznamu2zvraznn6">
    <w:name w:val="List Table 2 Accent 6"/>
    <w:basedOn w:val="Normlntabulka"/>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styleId="Tabulkaseznamu3zvraznn1">
    <w:name w:val="List Table 3 Accent 1"/>
    <w:basedOn w:val="Normlntabulka"/>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F81BD" w:themeColor="accent1"/>
          <w:right w:val="single" w:sz="4" w:space="0" w:color="4F81BD" w:themeColor="accent1"/>
        </w:tcBorders>
      </w:tcPr>
    </w:tblStylePr>
    <w:tblStylePr w:type="band1Horz">
      <w:rPr>
        <w:sz w:val="22"/>
      </w:rPr>
      <w:tblPr/>
      <w:tcPr>
        <w:tcBorders>
          <w:top w:val="single" w:sz="4" w:space="0" w:color="4F81BD" w:themeColor="accent1"/>
          <w:bottom w:val="single" w:sz="4" w:space="0" w:color="4F81BD" w:themeColor="accent1"/>
        </w:tcBorders>
      </w:tcPr>
    </w:tblStylePr>
  </w:style>
  <w:style w:type="table" w:styleId="Tabulkaseznamu3zvraznn2">
    <w:name w:val="List Table 3 Accent 2"/>
    <w:basedOn w:val="Normlntabulk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sz w:val="22"/>
      </w:rPr>
      <w:tblPr/>
      <w:tcPr>
        <w:shd w:val="clear" w:color="D99695" w:fill="D9969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C0504D" w:themeColor="accent2"/>
          <w:right w:val="single" w:sz="4" w:space="0" w:color="C0504D" w:themeColor="accent2"/>
        </w:tcBorders>
      </w:tcPr>
    </w:tblStylePr>
    <w:tblStylePr w:type="band1Horz">
      <w:rPr>
        <w:sz w:val="22"/>
      </w:rPr>
      <w:tblPr/>
      <w:tcPr>
        <w:tcBorders>
          <w:top w:val="single" w:sz="4" w:space="0" w:color="C0504D" w:themeColor="accent2"/>
          <w:bottom w:val="single" w:sz="4" w:space="0" w:color="C0504D" w:themeColor="accent2"/>
        </w:tcBorders>
      </w:tcPr>
    </w:tblStylePr>
  </w:style>
  <w:style w:type="table" w:styleId="Tabulkaseznamu3zvraznn3">
    <w:name w:val="List Table 3 Accent 3"/>
    <w:basedOn w:val="Normlntabulka"/>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sz w:val="22"/>
      </w:rPr>
      <w:tblPr/>
      <w:tcPr>
        <w:shd w:val="clear" w:color="C3D69B" w:fill="C3D69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9BBB59" w:themeColor="accent3"/>
          <w:right w:val="single" w:sz="4" w:space="0" w:color="9BBB59" w:themeColor="accent3"/>
        </w:tcBorders>
      </w:tcPr>
    </w:tblStylePr>
    <w:tblStylePr w:type="band1Horz">
      <w:rPr>
        <w:sz w:val="22"/>
      </w:rPr>
      <w:tblPr/>
      <w:tcPr>
        <w:tcBorders>
          <w:top w:val="single" w:sz="4" w:space="0" w:color="9BBB59" w:themeColor="accent3"/>
          <w:bottom w:val="single" w:sz="4" w:space="0" w:color="9BBB59" w:themeColor="accent3"/>
        </w:tcBorders>
      </w:tcPr>
    </w:tblStylePr>
  </w:style>
  <w:style w:type="table" w:styleId="Tabulkaseznamu3zvraznn4">
    <w:name w:val="List Table 3 Accent 4"/>
    <w:basedOn w:val="Normlntabulk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sz w:val="22"/>
      </w:rPr>
      <w:tblPr/>
      <w:tcPr>
        <w:shd w:val="clear" w:color="B2A1C6" w:fill="B2A1C6"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8064A2" w:themeColor="accent4"/>
          <w:right w:val="single" w:sz="4" w:space="0" w:color="8064A2" w:themeColor="accent4"/>
        </w:tcBorders>
      </w:tcPr>
    </w:tblStylePr>
    <w:tblStylePr w:type="band1Horz">
      <w:rPr>
        <w:sz w:val="22"/>
      </w:rPr>
      <w:tblPr/>
      <w:tcPr>
        <w:tcBorders>
          <w:top w:val="single" w:sz="4" w:space="0" w:color="8064A2" w:themeColor="accent4"/>
          <w:bottom w:val="single" w:sz="4" w:space="0" w:color="8064A2" w:themeColor="accent4"/>
        </w:tcBorders>
      </w:tcPr>
    </w:tblStylePr>
  </w:style>
  <w:style w:type="table" w:styleId="Tabulkaseznamu3zvraznn5">
    <w:name w:val="List Table 3 Accent 5"/>
    <w:basedOn w:val="Normlntabulka"/>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sz w:val="22"/>
      </w:rPr>
      <w:tblPr/>
      <w:tcPr>
        <w:shd w:val="clear" w:color="92CCDC" w:fill="92CCDC"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4BACC6" w:themeColor="accent5"/>
          <w:right w:val="single" w:sz="4" w:space="0" w:color="4BACC6" w:themeColor="accent5"/>
        </w:tcBorders>
      </w:tcPr>
    </w:tblStylePr>
    <w:tblStylePr w:type="band1Horz">
      <w:rPr>
        <w:sz w:val="22"/>
      </w:rPr>
      <w:tblPr/>
      <w:tcPr>
        <w:tcBorders>
          <w:top w:val="single" w:sz="4" w:space="0" w:color="4BACC6" w:themeColor="accent5"/>
          <w:bottom w:val="single" w:sz="4" w:space="0" w:color="4BACC6" w:themeColor="accent5"/>
        </w:tcBorders>
      </w:tcPr>
    </w:tblStylePr>
  </w:style>
  <w:style w:type="table" w:styleId="Tabulkaseznamu3zvraznn6">
    <w:name w:val="List Table 3 Accent 6"/>
    <w:basedOn w:val="Normlntabulka"/>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sz w:val="22"/>
      </w:rPr>
      <w:tblPr/>
      <w:tcPr>
        <w:shd w:val="clear" w:color="FAC090" w:fill="FAC090"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F79646" w:themeColor="accent6"/>
          <w:right w:val="single" w:sz="4" w:space="0" w:color="F79646" w:themeColor="accent6"/>
        </w:tcBorders>
      </w:tcPr>
    </w:tblStylePr>
    <w:tblStylePr w:type="band1Horz">
      <w:rPr>
        <w:sz w:val="22"/>
      </w:rPr>
      <w:tblPr/>
      <w:tcPr>
        <w:tcBorders>
          <w:top w:val="single" w:sz="4" w:space="0" w:color="F79646" w:themeColor="accent6"/>
          <w:bottom w:val="single" w:sz="4" w:space="0" w:color="F79646" w:themeColor="accent6"/>
        </w:tcBorders>
      </w:tcPr>
    </w:tblStylePr>
  </w:style>
  <w:style w:type="table" w:styleId="Tabulkaseznamu4zvraznn1">
    <w:name w:val="List Table 4 Accent 1"/>
    <w:basedOn w:val="Normlntabulka"/>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styleId="Tabulkaseznamu4zvraznn2">
    <w:name w:val="List Table 4 Accent 2"/>
    <w:basedOn w:val="Normlntabulka"/>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sz w:val="22"/>
      </w:rPr>
      <w:tblPr/>
      <w:tcPr>
        <w:shd w:val="clear" w:color="C0504D" w:fill="C0504D" w:themeFill="accent2"/>
      </w:tcPr>
    </w:tblStylePr>
    <w:tblStylePr w:type="lastRow">
      <w:rPr>
        <w:b/>
      </w:rPr>
    </w:tblStylePr>
    <w:tblStylePr w:type="firstCol">
      <w:rPr>
        <w:b/>
      </w:rPr>
    </w:tblStylePr>
    <w:tblStylePr w:type="lastCol">
      <w:rPr>
        <w:b/>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styleId="Tabulkaseznamu4zvraznn3">
    <w:name w:val="List Table 4 Accent 3"/>
    <w:basedOn w:val="Normlntabulka"/>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sz w:val="22"/>
      </w:rPr>
      <w:tblPr/>
      <w:tcPr>
        <w:shd w:val="clear" w:color="9BBB59" w:fill="9BBB59" w:themeFill="accent3"/>
      </w:tcPr>
    </w:tblStylePr>
    <w:tblStylePr w:type="lastRow">
      <w:rPr>
        <w:b/>
      </w:rPr>
    </w:tblStylePr>
    <w:tblStylePr w:type="firstCol">
      <w:rPr>
        <w:b/>
      </w:rPr>
    </w:tblStylePr>
    <w:tblStylePr w:type="lastCol">
      <w:rPr>
        <w:b/>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styleId="Tabulkaseznamu4zvraznn4">
    <w:name w:val="List Table 4 Accent 4"/>
    <w:basedOn w:val="Normlntabulka"/>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sz w:val="22"/>
      </w:rPr>
      <w:tblPr/>
      <w:tcPr>
        <w:shd w:val="clear" w:color="8064A2" w:fill="8064A2" w:themeFill="accent4"/>
      </w:tcPr>
    </w:tblStylePr>
    <w:tblStylePr w:type="lastRow">
      <w:rPr>
        <w:b/>
      </w:rPr>
    </w:tblStylePr>
    <w:tblStylePr w:type="firstCol">
      <w:rPr>
        <w:b/>
      </w:rPr>
    </w:tblStylePr>
    <w:tblStylePr w:type="lastCol">
      <w:rPr>
        <w:b/>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styleId="Tabulkaseznamu4zvraznn5">
    <w:name w:val="List Table 4 Accent 5"/>
    <w:basedOn w:val="Normlntabulka"/>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sz w:val="22"/>
      </w:rPr>
      <w:tblPr/>
      <w:tcPr>
        <w:shd w:val="clear" w:color="4BACC6" w:fill="4BACC6" w:themeFill="accent5"/>
      </w:tcPr>
    </w:tblStylePr>
    <w:tblStylePr w:type="lastRow">
      <w:rPr>
        <w:b/>
      </w:rPr>
    </w:tblStylePr>
    <w:tblStylePr w:type="firstCol">
      <w:rPr>
        <w:b/>
      </w:rPr>
    </w:tblStylePr>
    <w:tblStylePr w:type="lastCol">
      <w:rPr>
        <w:b/>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styleId="Tabulkaseznamu4zvraznn6">
    <w:name w:val="List Table 4 Accent 6"/>
    <w:basedOn w:val="Normlntabulka"/>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sz w:val="22"/>
      </w:rPr>
      <w:tblPr/>
      <w:tcPr>
        <w:shd w:val="clear" w:color="F79646" w:fill="F79646" w:themeFill="accent6"/>
      </w:tcPr>
    </w:tblStylePr>
    <w:tblStylePr w:type="lastRow">
      <w:rPr>
        <w:b/>
      </w:rPr>
    </w:tblStylePr>
    <w:tblStylePr w:type="firstCol">
      <w:rPr>
        <w:b/>
      </w:rPr>
    </w:tblStylePr>
    <w:tblStylePr w:type="lastCol">
      <w:rPr>
        <w:b/>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styleId="Tmavtabulkaseznamu5zvraznn1">
    <w:name w:val="List Table 5 Dark Accent 1"/>
    <w:basedOn w:val="Normlntabulka"/>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styleId="Tmavtabulkaseznamu5zvraznn2">
    <w:name w:val="List Table 5 Dark Accent 2"/>
    <w:basedOn w:val="Normlntabulka"/>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styleId="Tmavtabulkaseznamu5zvraznn3">
    <w:name w:val="List Table 5 Dark Accent 3"/>
    <w:basedOn w:val="Normlntabulka"/>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styleId="Tmavtabulkaseznamu5zvraznn4">
    <w:name w:val="List Table 5 Dark Accent 4"/>
    <w:basedOn w:val="Normlntabulka"/>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styleId="Tmavtabulkaseznamu5zvraznn5">
    <w:name w:val="List Table 5 Dark Accent 5"/>
    <w:basedOn w:val="Normlntabulka"/>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styleId="Tmavtabulkaseznamu5zvraznn6">
    <w:name w:val="List Table 5 Dark Accent 6"/>
    <w:basedOn w:val="Normlntabulka"/>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Barevntabulkaseznamu6zvraznn1">
    <w:name w:val="List Table 6 Colorful Accent 1"/>
    <w:basedOn w:val="Normlntabulka"/>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styleId="Barevntabulkaseznamu6zvraznn2">
    <w:name w:val="List Table 6 Colorful Accent 2"/>
    <w:basedOn w:val="Normlntabulka"/>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styleId="Barevntabulkaseznamu6zvraznn3">
    <w:name w:val="List Table 6 Colorful Accent 3"/>
    <w:basedOn w:val="Normlntabulka"/>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styleId="Barevntabulkaseznamu6zvraznn4">
    <w:name w:val="List Table 6 Colorful Accent 4"/>
    <w:basedOn w:val="Normlntabulka"/>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styleId="Barevntabulkaseznamu6zvraznn5">
    <w:name w:val="List Table 6 Colorful Accent 5"/>
    <w:basedOn w:val="Normlntabulka"/>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styleId="Barevntabulkaseznamu6zvraznn6">
    <w:name w:val="List Table 6 Colorful Accent 6"/>
    <w:basedOn w:val="Normlntabulka"/>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styleId="Barevntabulkaseznamu7zvraznn1">
    <w:name w:val="List Table 7 Colorful Accent 1"/>
    <w:basedOn w:val="Normlntabulka"/>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styleId="Barevntabulkaseznamu7zvraznn2">
    <w:name w:val="List Table 7 Colorful Accent 2"/>
    <w:basedOn w:val="Normlntabulka"/>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styleId="Barevntabulkaseznamu7zvraznn3">
    <w:name w:val="List Table 7 Colorful Accent 3"/>
    <w:basedOn w:val="Normlntabulka"/>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C3D69B" w:themeColor="accent3" w:themeTint="98"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styleId="Barevntabulkaseznamu7zvraznn4">
    <w:name w:val="List Table 7 Colorful Accent 4"/>
    <w:basedOn w:val="Normlntabulka"/>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styleId="Barevntabulkaseznamu7zvraznn5">
    <w:name w:val="List Table 7 Colorful Accent 5"/>
    <w:basedOn w:val="Normlntabulka"/>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2CCDC" w:themeColor="accent5" w:themeTint="9A"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styleId="Barevntabulkaseznamu7zvraznn6">
    <w:name w:val="List Table 7 Colorful Accent 6"/>
    <w:basedOn w:val="Normlntabulka"/>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FAC090" w:themeColor="accent6" w:themeTint="98"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styleId="Prosttabulka1">
    <w:name w:val="Plain Table 1"/>
    <w:basedOn w:val="Normlntabulk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FFFFF" w:themeFill="text1" w:themeFillTint="00"/>
      </w:tcPr>
    </w:tblStylePr>
    <w:tblStylePr w:type="band1Horz">
      <w:tblPr/>
      <w:tcPr>
        <w:shd w:val="clear" w:color="F2F2F2" w:fill="FFFFFF" w:themeFill="text1" w:themeFillTint="00"/>
      </w:tcPr>
    </w:tblStylePr>
  </w:style>
  <w:style w:type="table" w:styleId="Prosttabulka2">
    <w:name w:val="Plain Table 2"/>
    <w:basedOn w:val="Normlntabulka"/>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FFFFF" w:themeFill="text1" w:themeFillTint="00"/>
      </w:tcPr>
    </w:tblStylePr>
    <w:tblStylePr w:type="band1Horz">
      <w:rPr>
        <w:sz w:val="22"/>
      </w:rPr>
      <w:tblPr/>
      <w:tcPr>
        <w:shd w:val="clear" w:color="F2F2F2" w:fill="FFFFFF" w:themeFill="text1" w:themeFillTint="00"/>
      </w:tcPr>
    </w:tblStylePr>
  </w:style>
  <w:style w:type="table" w:styleId="Prosttabulka4">
    <w:name w:val="Plain Table 4"/>
    <w:basedOn w:val="Normlntabulka"/>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FFFFF" w:themeFill="text1" w:themeFillTint="00"/>
      </w:tcPr>
    </w:tblStylePr>
    <w:tblStylePr w:type="band1Horz">
      <w:rPr>
        <w:sz w:val="22"/>
      </w:rPr>
      <w:tblPr/>
      <w:tcPr>
        <w:shd w:val="clear" w:color="F2F2F2" w:fill="FFFFFF" w:themeFill="text1" w:themeFillTint="00"/>
      </w:tcPr>
    </w:tblStylePr>
  </w:style>
  <w:style w:type="table" w:styleId="Prosttabulka5">
    <w:name w:val="Plain Table 5"/>
    <w:basedOn w:val="Normlntabulka"/>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FFFFF" w:themeFill="text1" w:themeFillTint="00"/>
      </w:tcPr>
    </w:tblStylePr>
    <w:tblStylePr w:type="band1Horz">
      <w:rPr>
        <w:sz w:val="22"/>
      </w:rPr>
      <w:tblPr/>
      <w:tcPr>
        <w:shd w:val="clear" w:color="F2F2F2" w:fill="FFFFFF" w:themeFill="text1" w:themeFillTint="00"/>
      </w:tcPr>
    </w:tblStylePr>
  </w:style>
  <w:style w:type="table" w:styleId="Svtltabulkasmkou1">
    <w:name w:val="Grid Table 1 Light"/>
    <w:basedOn w:val="Normlntabulka"/>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styleId="Tabulkasmkou2">
    <w:name w:val="Grid Table 2"/>
    <w:basedOn w:val="Normlntabulk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styleId="Tabulkasmkou3">
    <w:name w:val="Grid Table 3"/>
    <w:basedOn w:val="Normlntabulk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styleId="Tabulkasmkou4">
    <w:name w:val="Grid Table 4"/>
    <w:basedOn w:val="Normlntabulka"/>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styleId="Tmavtabulkasmkou5">
    <w:name w:val="Grid Table 5 Dark"/>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F81BD" w:fill="4F81BD" w:themeFill="accent1"/>
      </w:tcPr>
    </w:tblStylePr>
    <w:tblStylePr w:type="lastRow">
      <w:rPr>
        <w:b/>
        <w:sz w:val="22"/>
      </w:rPr>
      <w:tblPr/>
      <w:tcPr>
        <w:tcBorders>
          <w:top w:val="single" w:sz="4" w:space="0" w:color="FFFFFF" w:themeColor="light1"/>
        </w:tcBorders>
        <w:shd w:val="clear" w:color="4F81BD" w:fill="4F81BD" w:themeFill="accent1"/>
      </w:tcPr>
    </w:tblStylePr>
    <w:tblStylePr w:type="firstCol">
      <w:rPr>
        <w:b/>
        <w:sz w:val="22"/>
      </w:rPr>
      <w:tblPr/>
      <w:tcPr>
        <w:shd w:val="clear" w:color="4F81BD" w:fill="4F81BD" w:themeFill="accent1"/>
      </w:tcPr>
    </w:tblStylePr>
    <w:tblStylePr w:type="lastCol">
      <w:rPr>
        <w:b/>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4">
    <w:name w:val="Grid Table 5 Dark- Accent 4"/>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8064A2" w:fill="8064A2" w:themeFill="accent4"/>
      </w:tcPr>
    </w:tblStylePr>
    <w:tblStylePr w:type="lastRow">
      <w:rPr>
        <w:b/>
        <w:sz w:val="22"/>
      </w:rPr>
      <w:tblPr/>
      <w:tcPr>
        <w:tcBorders>
          <w:top w:val="single" w:sz="4" w:space="0" w:color="FFFFFF" w:themeColor="light1"/>
        </w:tcBorders>
        <w:shd w:val="clear" w:color="8064A2" w:fill="8064A2" w:themeFill="accent4"/>
      </w:tcPr>
    </w:tblStylePr>
    <w:tblStylePr w:type="firstCol">
      <w:rPr>
        <w:b/>
        <w:sz w:val="22"/>
      </w:rPr>
      <w:tblPr/>
      <w:tcPr>
        <w:shd w:val="clear" w:color="8064A2" w:fill="8064A2" w:themeFill="accent4"/>
      </w:tcPr>
    </w:tblStylePr>
    <w:tblStylePr w:type="lastCol">
      <w:rPr>
        <w:b/>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styleId="Barevntabulkasmkou6">
    <w:name w:val="Grid Table 6 Colorful"/>
    <w:basedOn w:val="Normlntabulka"/>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styleId="Barevntabulkasmkou7">
    <w:name w:val="Grid Table 7 Colorful"/>
    <w:basedOn w:val="Normlntabulka"/>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FFFFF" w:themeFill="text1" w:themeFillTint="00"/>
      </w:tcPr>
    </w:tblStylePr>
    <w:tblStylePr w:type="band1Horz">
      <w:rPr>
        <w:color w:val="7F7F7F" w:themeColor="text1" w:themeTint="80" w:themeShade="95"/>
        <w:sz w:val="22"/>
      </w:rPr>
      <w:tblPr/>
      <w:tcPr>
        <w:shd w:val="clear" w:color="F2F2F2" w:fill="FFFFFF" w:themeFill="text1" w:themeFillTint="00"/>
      </w:tcPr>
    </w:tblStylePr>
    <w:tblStylePr w:type="band2Horz">
      <w:rPr>
        <w:color w:val="7F7F7F" w:themeColor="text1" w:themeTint="80" w:themeShade="95"/>
        <w:sz w:val="22"/>
      </w:rPr>
    </w:tblStylePr>
  </w:style>
  <w:style w:type="table" w:styleId="Svtltabulkaseznamu1">
    <w:name w:val="List Table 1 Light"/>
    <w:basedOn w:val="Normlntabulka"/>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styleId="Tabulkaseznamu2">
    <w:name w:val="List Table 2"/>
    <w:basedOn w:val="Normlntabulka"/>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styleId="Tabulkaseznamu3">
    <w:name w:val="List Table 3"/>
    <w:basedOn w:val="Normlntabulk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styleId="Tabulkaseznamu4">
    <w:name w:val="List Table 4"/>
    <w:basedOn w:val="Normlntabulk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styleId="Tmavtabulkaseznamu5">
    <w:name w:val="List Table 5 Dark"/>
    <w:basedOn w:val="Normlntabulka"/>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styleId="Barevntabulkaseznamu6">
    <w:name w:val="List Table 6 Colorful"/>
    <w:basedOn w:val="Normlntabulka"/>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styleId="Barevntabulkaseznamu7">
    <w:name w:val="List Table 7 Colorful"/>
    <w:basedOn w:val="Normlntabulka"/>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ned-Accent">
    <w:name w:val="Lined - Accent"/>
    <w:basedOn w:val="Normlntabulka"/>
    <w:uiPriority w:val="99"/>
    <w:rPr>
      <w:sz w:val="20"/>
      <w:szCs w:val="20"/>
      <w:lang w:val="en-US"/>
    </w:rPr>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FFFFF" w:themeFill="text1" w:themeFillTint="00"/>
      </w:tcPr>
    </w:tblStylePr>
    <w:tblStylePr w:type="band1Horz">
      <w:rPr>
        <w:sz w:val="22"/>
      </w:rPr>
    </w:tblStylePr>
    <w:tblStylePr w:type="band2Horz">
      <w:rPr>
        <w:sz w:val="22"/>
      </w:rPr>
      <w:tblPr/>
      <w:tcPr>
        <w:shd w:val="clear" w:color="F2F2F2" w:fill="FFFFFF" w:themeFill="text1" w:themeFillTint="00"/>
      </w:tcPr>
    </w:tblStylePr>
  </w:style>
  <w:style w:type="table" w:customStyle="1" w:styleId="Lined-Accent1">
    <w:name w:val="Lined - Accent 1"/>
    <w:basedOn w:val="Normlntabulka"/>
    <w:uiPriority w:val="99"/>
    <w:rPr>
      <w:sz w:val="20"/>
      <w:szCs w:val="20"/>
      <w:lang w:val="en-US"/>
    </w:rPr>
    <w:tblPr>
      <w:tblStyleRowBandSize w:val="1"/>
      <w:tblStyleColBandSize w:val="1"/>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Lined-Accent2">
    <w:name w:val="Lined - Accent 2"/>
    <w:basedOn w:val="Normlntabulka"/>
    <w:uiPriority w:val="99"/>
    <w:rPr>
      <w:sz w:val="20"/>
      <w:szCs w:val="20"/>
      <w:lang w:val="en-US"/>
    </w:rPr>
    <w:tblPr>
      <w:tblStyleRowBandSize w:val="1"/>
      <w:tblStyleColBandSize w:val="1"/>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Lined-Accent3">
    <w:name w:val="Lined - Accent 3"/>
    <w:basedOn w:val="Normlntabulka"/>
    <w:uiPriority w:val="99"/>
    <w:rPr>
      <w:sz w:val="20"/>
      <w:szCs w:val="20"/>
      <w:lang w:val="en-US"/>
    </w:rPr>
    <w:tblPr>
      <w:tblStyleRowBandSize w:val="1"/>
      <w:tblStyleColBandSize w:val="1"/>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Lined-Accent4">
    <w:name w:val="Lined - Accent 4"/>
    <w:basedOn w:val="Normlntabulka"/>
    <w:uiPriority w:val="99"/>
    <w:rPr>
      <w:sz w:val="20"/>
      <w:szCs w:val="20"/>
      <w:lang w:val="en-US"/>
    </w:rPr>
    <w:tblPr>
      <w:tblStyleRowBandSize w:val="1"/>
      <w:tblStyleColBandSize w:val="1"/>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Lined-Accent5">
    <w:name w:val="Lined - Accent 5"/>
    <w:basedOn w:val="Normlntabulka"/>
    <w:uiPriority w:val="99"/>
    <w:rPr>
      <w:sz w:val="20"/>
      <w:szCs w:val="20"/>
      <w:lang w:val="en-US"/>
    </w:rPr>
    <w:tblPr>
      <w:tblStyleRowBandSize w:val="1"/>
      <w:tblStyleColBandSize w:val="1"/>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Lined-Accent6">
    <w:name w:val="Lined - Accent 6"/>
    <w:basedOn w:val="Normlntabulka"/>
    <w:uiPriority w:val="99"/>
    <w:rPr>
      <w:sz w:val="20"/>
      <w:szCs w:val="20"/>
      <w:lang w:val="en-US"/>
    </w:rPr>
    <w:tblPr>
      <w:tblStyleRowBandSize w:val="1"/>
      <w:tblStyleColBandSize w:val="1"/>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Lined-Accent">
    <w:name w:val="Bordered &amp; Lined - Accent"/>
    <w:basedOn w:val="Normlntabulka"/>
    <w:uiPriority w:val="99"/>
    <w:rPr>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FFFFF" w:themeFill="text1" w:themeFillTint="00"/>
      </w:tcPr>
    </w:tblStylePr>
    <w:tblStylePr w:type="band1Horz">
      <w:rPr>
        <w:sz w:val="22"/>
      </w:rPr>
    </w:tblStylePr>
    <w:tblStylePr w:type="band2Horz">
      <w:rPr>
        <w:sz w:val="22"/>
      </w:rPr>
      <w:tblPr/>
      <w:tcPr>
        <w:shd w:val="clear" w:color="F2F2F2" w:fill="FFFFFF" w:themeFill="text1" w:themeFillTint="00"/>
      </w:tcPr>
    </w:tblStylePr>
  </w:style>
  <w:style w:type="table" w:customStyle="1" w:styleId="BorderedLined-Accent1">
    <w:name w:val="Bordered &amp; Lined - Accent 1"/>
    <w:basedOn w:val="Normlntabulka"/>
    <w:uiPriority w:val="99"/>
    <w:rPr>
      <w:sz w:val="20"/>
      <w:szCs w:val="20"/>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BorderedLined-Accent2">
    <w:name w:val="Bordered &amp; Lined - Accent 2"/>
    <w:basedOn w:val="Normlntabulka"/>
    <w:uiPriority w:val="99"/>
    <w:rPr>
      <w:sz w:val="20"/>
      <w:szCs w:val="20"/>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BorderedLined-Accent3">
    <w:name w:val="Bordered &amp; Lined - Accent 3"/>
    <w:basedOn w:val="Normlntabulka"/>
    <w:uiPriority w:val="99"/>
    <w:rPr>
      <w:sz w:val="20"/>
      <w:szCs w:val="20"/>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BorderedLined-Accent4">
    <w:name w:val="Bordered &amp; Lined - Accent 4"/>
    <w:basedOn w:val="Normlntabulka"/>
    <w:uiPriority w:val="99"/>
    <w:rPr>
      <w:sz w:val="20"/>
      <w:szCs w:val="20"/>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BorderedLined-Accent5">
    <w:name w:val="Bordered &amp; Lined - Accent 5"/>
    <w:basedOn w:val="Normlntabulka"/>
    <w:uiPriority w:val="99"/>
    <w:rPr>
      <w:sz w:val="20"/>
      <w:szCs w:val="20"/>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BorderedLined-Accent6">
    <w:name w:val="Bordered &amp; Lined - Accent 6"/>
    <w:basedOn w:val="Normlntabulka"/>
    <w:uiPriority w:val="99"/>
    <w:rPr>
      <w:sz w:val="20"/>
      <w:szCs w:val="20"/>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
    <w:name w:val="Bordered"/>
    <w:basedOn w:val="Normlntabulka"/>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Normlntabulka"/>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sz w:val="22"/>
      </w:rPr>
      <w:tblPr/>
      <w:tcPr>
        <w:tcBorders>
          <w:bottom w:val="single" w:sz="12" w:space="0" w:color="4F81BD" w:themeColor="accent1"/>
        </w:tcBorders>
      </w:tcPr>
    </w:tblStylePr>
    <w:tblStylePr w:type="lastRow">
      <w:rPr>
        <w:sz w:val="22"/>
      </w:rPr>
      <w:tblPr/>
      <w:tcPr>
        <w:tcBorders>
          <w:top w:val="single" w:sz="12" w:space="0" w:color="4F81BD" w:themeColor="accent1"/>
        </w:tcBorders>
      </w:tcPr>
    </w:tblStylePr>
    <w:tblStylePr w:type="firstCol">
      <w:rPr>
        <w:sz w:val="22"/>
      </w:rPr>
    </w:tblStylePr>
    <w:tblStylePr w:type="lastCol">
      <w:rPr>
        <w:sz w:val="22"/>
      </w:rPr>
      <w:tblPr/>
      <w:tcPr>
        <w:tcBorders>
          <w:left w:val="single" w:sz="12" w:space="0" w:color="4F81BD" w:themeColor="accent1"/>
        </w:tcBorders>
      </w:tc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Normlntabulka"/>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sz w:val="22"/>
      </w:rPr>
      <w:tblPr/>
      <w:tcPr>
        <w:tcBorders>
          <w:bottom w:val="single" w:sz="12" w:space="0" w:color="C0504D" w:themeColor="accent2"/>
        </w:tcBorders>
      </w:tcPr>
    </w:tblStylePr>
    <w:tblStylePr w:type="lastRow">
      <w:rPr>
        <w:sz w:val="22"/>
      </w:rPr>
      <w:tblPr/>
      <w:tcPr>
        <w:tcBorders>
          <w:top w:val="single" w:sz="12" w:space="0" w:color="C0504D" w:themeColor="accent2"/>
        </w:tcBorders>
      </w:tcPr>
    </w:tblStylePr>
    <w:tblStylePr w:type="firstCol">
      <w:rPr>
        <w:sz w:val="22"/>
      </w:rPr>
    </w:tblStylePr>
    <w:tblStylePr w:type="lastCol">
      <w:rPr>
        <w:sz w:val="22"/>
      </w:rPr>
      <w:tblPr/>
      <w:tcPr>
        <w:tcBorders>
          <w:left w:val="single" w:sz="12" w:space="0" w:color="C0504D" w:themeColor="accent2"/>
        </w:tcBorders>
      </w:tc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Normlntabulka"/>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sz w:val="22"/>
      </w:rPr>
      <w:tblPr/>
      <w:tcPr>
        <w:tcBorders>
          <w:bottom w:val="single" w:sz="12" w:space="0" w:color="9BBB59" w:themeColor="accent3"/>
        </w:tcBorders>
      </w:tcPr>
    </w:tblStylePr>
    <w:tblStylePr w:type="lastRow">
      <w:rPr>
        <w:sz w:val="22"/>
      </w:rPr>
      <w:tblPr/>
      <w:tcPr>
        <w:tcBorders>
          <w:top w:val="single" w:sz="12" w:space="0" w:color="9BBB59" w:themeColor="accent3"/>
        </w:tcBorders>
      </w:tcPr>
    </w:tblStylePr>
    <w:tblStylePr w:type="firstCol">
      <w:rPr>
        <w:sz w:val="22"/>
      </w:rPr>
    </w:tblStylePr>
    <w:tblStylePr w:type="lastCol">
      <w:rPr>
        <w:sz w:val="22"/>
      </w:rPr>
      <w:tblPr/>
      <w:tcPr>
        <w:tcBorders>
          <w:left w:val="single" w:sz="12" w:space="0" w:color="9BBB59" w:themeColor="accent3"/>
        </w:tcBorders>
      </w:tc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Normlntabulka"/>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sz w:val="22"/>
      </w:rPr>
      <w:tblPr/>
      <w:tcPr>
        <w:tcBorders>
          <w:bottom w:val="single" w:sz="12" w:space="0" w:color="8064A2" w:themeColor="accent4"/>
        </w:tcBorders>
      </w:tcPr>
    </w:tblStylePr>
    <w:tblStylePr w:type="lastRow">
      <w:rPr>
        <w:sz w:val="22"/>
      </w:rPr>
      <w:tblPr/>
      <w:tcPr>
        <w:tcBorders>
          <w:top w:val="single" w:sz="12" w:space="0" w:color="8064A2" w:themeColor="accent4"/>
        </w:tcBorders>
      </w:tcPr>
    </w:tblStylePr>
    <w:tblStylePr w:type="firstCol">
      <w:rPr>
        <w:sz w:val="22"/>
      </w:rPr>
    </w:tblStylePr>
    <w:tblStylePr w:type="lastCol">
      <w:rPr>
        <w:sz w:val="22"/>
      </w:rPr>
      <w:tblPr/>
      <w:tcPr>
        <w:tcBorders>
          <w:left w:val="single" w:sz="12" w:space="0" w:color="8064A2" w:themeColor="accent4"/>
        </w:tcBorders>
      </w:tc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Normlntabulka"/>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sz w:val="22"/>
      </w:rPr>
      <w:tblPr/>
      <w:tcPr>
        <w:tcBorders>
          <w:bottom w:val="single" w:sz="12" w:space="0" w:color="4BACC6" w:themeColor="accent5"/>
        </w:tcBorders>
      </w:tcPr>
    </w:tblStylePr>
    <w:tblStylePr w:type="lastRow">
      <w:rPr>
        <w:sz w:val="22"/>
      </w:rPr>
      <w:tblPr/>
      <w:tcPr>
        <w:tcBorders>
          <w:top w:val="single" w:sz="12" w:space="0" w:color="4BACC6" w:themeColor="accent5"/>
        </w:tcBorders>
      </w:tcPr>
    </w:tblStylePr>
    <w:tblStylePr w:type="firstCol">
      <w:rPr>
        <w:sz w:val="22"/>
      </w:rPr>
    </w:tblStylePr>
    <w:tblStylePr w:type="lastCol">
      <w:rPr>
        <w:sz w:val="22"/>
      </w:rPr>
      <w:tblPr/>
      <w:tcPr>
        <w:tcBorders>
          <w:left w:val="single" w:sz="12" w:space="0" w:color="4BACC6" w:themeColor="accent5"/>
        </w:tcBorders>
      </w:tc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Normlntabulka"/>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sz w:val="22"/>
      </w:rPr>
      <w:tblPr/>
      <w:tcPr>
        <w:tcBorders>
          <w:bottom w:val="single" w:sz="12" w:space="0" w:color="F79646" w:themeColor="accent6"/>
        </w:tcBorders>
      </w:tcPr>
    </w:tblStylePr>
    <w:tblStylePr w:type="lastRow">
      <w:rPr>
        <w:sz w:val="22"/>
      </w:rPr>
      <w:tblPr/>
      <w:tcPr>
        <w:tcBorders>
          <w:top w:val="single" w:sz="12" w:space="0" w:color="F79646" w:themeColor="accent6"/>
        </w:tcBorders>
      </w:tcPr>
    </w:tblStylePr>
    <w:tblStylePr w:type="firstCol">
      <w:rPr>
        <w:sz w:val="22"/>
      </w:rPr>
    </w:tblStylePr>
    <w:tblStylePr w:type="lastCol">
      <w:rPr>
        <w:sz w:val="22"/>
      </w:rPr>
      <w:tblPr/>
      <w:tcPr>
        <w:tcBorders>
          <w:left w:val="single" w:sz="12" w:space="0" w:color="F79646" w:themeColor="accent6"/>
        </w:tcBorders>
      </w:tc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Mkatabulky">
    <w:name w:val="Table Grid"/>
    <w:basedOn w:val="Normlntabulk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gradFill>
        <a:gradFill>
          <a:gsLst>
            <a:gs pos="0">
              <a:schemeClr val="phClr">
                <a:shade val="51000"/>
              </a:schemeClr>
            </a:gs>
            <a:gs pos="80000">
              <a:schemeClr val="phClr">
                <a:shade val="93000"/>
              </a:schemeClr>
            </a:gs>
            <a:gs pos="100000">
              <a:schemeClr val="phClr">
                <a:shade val="94000"/>
              </a:schemeClr>
            </a:gs>
          </a:gsLst>
          <a:lin ang="16200000" scaled="0"/>
        </a:gradFill>
      </a:fillStyleLst>
      <a:lnStyleLst>
        <a:ln w="9525" cap="flat" cmpd="sng" algn="ctr">
          <a:prstDash val="solid"/>
        </a:ln>
        <a:ln w="25400" cap="flat" cmpd="sng" algn="ctr">
          <a:prstDash val="solid"/>
        </a:ln>
        <a:ln w="38100" cap="flat" cmpd="sng" algn="ctr">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gradFill>
        <a:gradFill>
          <a:gsLst>
            <a:gs pos="0">
              <a:schemeClr val="phClr">
                <a:tint val="80000"/>
              </a:schemeClr>
            </a:gs>
            <a:gs pos="100000">
              <a:schemeClr val="phClr">
                <a:shade val="3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cdb3de9-8f50-490d-a39b-a82a044029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2A00DAFE5581046A6145032B39B1B12" ma:contentTypeVersion="17" ma:contentTypeDescription="Vytvoří nový dokument" ma:contentTypeScope="" ma:versionID="9d219cdeb7ce1a7c91ecfdb523fc7443">
  <xsd:schema xmlns:xsd="http://www.w3.org/2001/XMLSchema" xmlns:xs="http://www.w3.org/2001/XMLSchema" xmlns:p="http://schemas.microsoft.com/office/2006/metadata/properties" xmlns:ns3="ecdb3de9-8f50-490d-a39b-a82a0440297b" xmlns:ns4="7d8e88f8-2891-489e-8a0c-e0c4743cd2c2" targetNamespace="http://schemas.microsoft.com/office/2006/metadata/properties" ma:root="true" ma:fieldsID="0ea03b0228891ed5ba13f6c4c9182b2e" ns3:_="" ns4:_="">
    <xsd:import namespace="ecdb3de9-8f50-490d-a39b-a82a0440297b"/>
    <xsd:import namespace="7d8e88f8-2891-489e-8a0c-e0c4743cd2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AutoKeyPoints" minOccurs="0"/>
                <xsd:element ref="ns3:MediaServiceKeyPoint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b3de9-8f50-490d-a39b-a82a04402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e88f8-2891-489e-8a0c-e0c4743cd2c2"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SharingHintHash" ma:index="15"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F079D-FCC1-446A-A87B-9E648B371F7C}">
  <ds:schemaRefs>
    <ds:schemaRef ds:uri="http://schemas.microsoft.com/office/2006/metadata/properties"/>
    <ds:schemaRef ds:uri="http://schemas.microsoft.com/office/infopath/2007/PartnerControls"/>
    <ds:schemaRef ds:uri="ecdb3de9-8f50-490d-a39b-a82a0440297b"/>
  </ds:schemaRefs>
</ds:datastoreItem>
</file>

<file path=customXml/itemProps2.xml><?xml version="1.0" encoding="utf-8"?>
<ds:datastoreItem xmlns:ds="http://schemas.openxmlformats.org/officeDocument/2006/customXml" ds:itemID="{C6382922-BF69-470A-B9C3-1DF039BFB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b3de9-8f50-490d-a39b-a82a0440297b"/>
    <ds:schemaRef ds:uri="7d8e88f8-2891-489e-8a0c-e0c4743cd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D283E1-A5B5-40E4-A953-C787AB5C99BE}">
  <ds:schemaRefs>
    <ds:schemaRef ds:uri="http://schemas.microsoft.com/sharepoint/v3/contenttype/forms"/>
  </ds:schemaRefs>
</ds:datastoreItem>
</file>

<file path=customXml/itemProps4.xml><?xml version="1.0" encoding="utf-8"?>
<ds:datastoreItem xmlns:ds="http://schemas.openxmlformats.org/officeDocument/2006/customXml" ds:itemID="{07AB1B09-9B83-4C3E-9B7F-757B96EEC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2024</Words>
  <Characters>11948</Characters>
  <Application>Microsoft Office Word</Application>
  <DocSecurity>0</DocSecurity>
  <Lines>99</Lines>
  <Paragraphs>27</Paragraphs>
  <ScaleCrop>false</ScaleCrop>
  <Company>CESNET, z.s.p.o.</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Pasek Radovan</dc:creator>
  <dc:description/>
  <cp:lastModifiedBy>Vojtěch Široký</cp:lastModifiedBy>
  <cp:revision>3</cp:revision>
  <dcterms:created xsi:type="dcterms:W3CDTF">2025-06-13T07:12:00Z</dcterms:created>
  <dcterms:modified xsi:type="dcterms:W3CDTF">2025-06-13T07:32:00Z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0x01010062A00DAFE5581046A6145032B39B1B12</vt:lpwstr>
  </property>
</Properties>
</file>