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1B" w:rsidRDefault="00726B1B" w:rsidP="00FF0CB8">
      <w:pPr>
        <w:pStyle w:val="Zkladntext"/>
        <w:ind w:left="1418" w:hanging="1418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26B1B" w:rsidRDefault="00726B1B" w:rsidP="00FF0CB8">
      <w:pPr>
        <w:pStyle w:val="Zkladntext"/>
        <w:ind w:left="1418" w:hanging="1418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26B1B" w:rsidRDefault="00726B1B" w:rsidP="00FF0CB8">
      <w:pPr>
        <w:pStyle w:val="Zkladntext"/>
        <w:ind w:left="1418" w:hanging="1418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26B1B" w:rsidRDefault="00726B1B" w:rsidP="00FF0CB8">
      <w:pPr>
        <w:pStyle w:val="Zkladntext"/>
        <w:ind w:left="1418" w:hanging="1418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26B1B" w:rsidRDefault="00726B1B" w:rsidP="00FF0CB8">
      <w:pPr>
        <w:pStyle w:val="Zkladntext"/>
        <w:ind w:left="1418" w:hanging="1418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26B1B" w:rsidRDefault="00726B1B" w:rsidP="00FF0CB8">
      <w:pPr>
        <w:pStyle w:val="Zkladntext"/>
        <w:ind w:left="1418" w:hanging="1418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26B1B" w:rsidRDefault="00726B1B" w:rsidP="00FF0CB8">
      <w:pPr>
        <w:pStyle w:val="Zkladntext"/>
        <w:ind w:left="1418" w:hanging="1418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26B1B" w:rsidRDefault="00726B1B" w:rsidP="00FF0CB8">
      <w:pPr>
        <w:pStyle w:val="Zkladntext"/>
        <w:ind w:left="1418" w:hanging="1418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26B1B" w:rsidRDefault="00F1200B" w:rsidP="00FF0CB8">
      <w:pPr>
        <w:pStyle w:val="Zkladntext"/>
        <w:ind w:left="1418" w:hanging="1418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Příloha č. 2</w:t>
      </w:r>
      <w:r w:rsidR="00726B1B">
        <w:rPr>
          <w:rFonts w:ascii="Verdana" w:hAnsi="Verdana" w:cs="Verdana"/>
          <w:b/>
          <w:bCs/>
          <w:sz w:val="28"/>
          <w:szCs w:val="28"/>
        </w:rPr>
        <w:t xml:space="preserve"> zadávací </w:t>
      </w:r>
      <w:bookmarkStart w:id="0" w:name="_GoBack"/>
      <w:r w:rsidR="00726B1B">
        <w:rPr>
          <w:rFonts w:ascii="Verdana" w:hAnsi="Verdana" w:cs="Verdana"/>
          <w:b/>
          <w:bCs/>
          <w:sz w:val="28"/>
          <w:szCs w:val="28"/>
        </w:rPr>
        <w:t xml:space="preserve">dokumentace </w:t>
      </w:r>
      <w:bookmarkEnd w:id="0"/>
      <w:r w:rsidR="00726B1B">
        <w:rPr>
          <w:rFonts w:ascii="Verdana" w:hAnsi="Verdana" w:cs="Verdana"/>
          <w:b/>
          <w:bCs/>
          <w:sz w:val="28"/>
          <w:szCs w:val="28"/>
        </w:rPr>
        <w:t>–</w:t>
      </w:r>
    </w:p>
    <w:p w:rsidR="00726B1B" w:rsidRDefault="00726B1B" w:rsidP="00FF0CB8">
      <w:pPr>
        <w:pStyle w:val="Zkladntext"/>
        <w:ind w:left="1418" w:hanging="1418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26B1B" w:rsidRDefault="00726B1B" w:rsidP="00FF0CB8">
      <w:pPr>
        <w:pStyle w:val="Zkladntext"/>
        <w:ind w:left="1418" w:hanging="1418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Vzor návrhu kupní smlouvy</w:t>
      </w:r>
    </w:p>
    <w:p w:rsidR="00726B1B" w:rsidRDefault="00726B1B" w:rsidP="00FF0CB8">
      <w:pPr>
        <w:pStyle w:val="Zkladntext"/>
        <w:spacing w:line="480" w:lineRule="auto"/>
        <w:rPr>
          <w:rFonts w:ascii="Verdana" w:hAnsi="Verdana" w:cs="Verdana"/>
        </w:rPr>
      </w:pPr>
    </w:p>
    <w:p w:rsidR="00726B1B" w:rsidRDefault="00726B1B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26B1B" w:rsidRDefault="00726B1B" w:rsidP="00FF0CB8">
      <w:pPr>
        <w:rPr>
          <w:sz w:val="20"/>
          <w:szCs w:val="20"/>
        </w:rPr>
      </w:pPr>
    </w:p>
    <w:p w:rsidR="00726B1B" w:rsidRDefault="00726B1B" w:rsidP="00FF0CB8"/>
    <w:p w:rsidR="00726B1B" w:rsidRDefault="00726B1B" w:rsidP="00FF0CB8"/>
    <w:p w:rsidR="00726B1B" w:rsidRPr="005C336D" w:rsidRDefault="00726B1B" w:rsidP="0038184A">
      <w:pPr>
        <w:spacing w:before="80" w:after="80"/>
        <w:jc w:val="center"/>
        <w:rPr>
          <w:rFonts w:ascii="Verdana" w:hAnsi="Verdana" w:cs="Verdana"/>
          <w:b/>
          <w:bCs/>
          <w:sz w:val="32"/>
          <w:szCs w:val="32"/>
          <w:u w:val="single"/>
        </w:rPr>
      </w:pPr>
      <w:r>
        <w:rPr>
          <w:rFonts w:ascii="Verdana" w:hAnsi="Verdana" w:cs="Verdana"/>
          <w:b/>
          <w:bCs/>
          <w:sz w:val="32"/>
          <w:szCs w:val="32"/>
          <w:u w:val="single"/>
        </w:rPr>
        <w:t>Kupní smlouva</w:t>
      </w:r>
    </w:p>
    <w:p w:rsidR="00726B1B" w:rsidRPr="005C336D" w:rsidRDefault="00726B1B" w:rsidP="004E541C">
      <w:pPr>
        <w:pStyle w:val="text"/>
        <w:jc w:val="center"/>
        <w:rPr>
          <w:rFonts w:ascii="Verdana" w:hAnsi="Verdana" w:cs="Verdana"/>
        </w:rPr>
      </w:pPr>
      <w:r w:rsidRPr="005C336D">
        <w:rPr>
          <w:rFonts w:ascii="Verdana" w:hAnsi="Verdana" w:cs="Verdana"/>
        </w:rPr>
        <w:t>uzavřená ve smyslu ustanovení §</w:t>
      </w:r>
      <w:r>
        <w:rPr>
          <w:rFonts w:ascii="Verdana" w:hAnsi="Verdana" w:cs="Verdana"/>
        </w:rPr>
        <w:t xml:space="preserve"> 409</w:t>
      </w:r>
      <w:r w:rsidRPr="005C336D">
        <w:rPr>
          <w:rFonts w:ascii="Verdana" w:hAnsi="Verdana" w:cs="Verdana"/>
        </w:rPr>
        <w:t xml:space="preserve"> a následujících obchodního zákoníku </w:t>
      </w:r>
      <w:proofErr w:type="gramStart"/>
      <w:r w:rsidRPr="005C336D">
        <w:rPr>
          <w:rFonts w:ascii="Verdana" w:hAnsi="Verdana" w:cs="Verdana"/>
        </w:rPr>
        <w:t>mezi</w:t>
      </w:r>
      <w:proofErr w:type="gramEnd"/>
    </w:p>
    <w:p w:rsidR="00726B1B" w:rsidRPr="005C336D" w:rsidRDefault="00726B1B" w:rsidP="0038184A">
      <w:pPr>
        <w:pStyle w:val="text"/>
        <w:rPr>
          <w:rFonts w:ascii="Verdana" w:hAnsi="Verdana" w:cs="Verdana"/>
        </w:rPr>
      </w:pPr>
    </w:p>
    <w:p w:rsidR="00726B1B" w:rsidRPr="005C336D" w:rsidRDefault="00726B1B" w:rsidP="0038184A">
      <w:pPr>
        <w:pStyle w:val="text"/>
        <w:rPr>
          <w:rFonts w:ascii="Verdana" w:hAnsi="Verdana" w:cs="Verdana"/>
        </w:rPr>
      </w:pPr>
    </w:p>
    <w:p w:rsidR="00726B1B" w:rsidRPr="005C336D" w:rsidRDefault="00726B1B" w:rsidP="0038184A">
      <w:pPr>
        <w:pStyle w:val="text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kupujícím</w:t>
      </w:r>
      <w:r w:rsidRPr="005C336D">
        <w:rPr>
          <w:rFonts w:ascii="Verdana" w:hAnsi="Verdana" w:cs="Verdana"/>
        </w:rPr>
        <w:t>:</w:t>
      </w:r>
    </w:p>
    <w:p w:rsidR="00726B1B" w:rsidRPr="005C336D" w:rsidRDefault="00726B1B" w:rsidP="0038184A">
      <w:pPr>
        <w:spacing w:before="80" w:after="80"/>
        <w:rPr>
          <w:rFonts w:ascii="Verdana" w:hAnsi="Verdana" w:cs="Verdana"/>
          <w:b/>
          <w:bCs/>
          <w:sz w:val="22"/>
          <w:szCs w:val="22"/>
        </w:rPr>
      </w:pPr>
      <w:r w:rsidRPr="005C336D">
        <w:rPr>
          <w:rFonts w:ascii="Verdana" w:hAnsi="Verdana" w:cs="Verdana"/>
          <w:b/>
          <w:bCs/>
          <w:sz w:val="22"/>
          <w:szCs w:val="22"/>
        </w:rPr>
        <w:t>CESNET, zájmové sdružení právnických osob</w:t>
      </w:r>
    </w:p>
    <w:p w:rsidR="00726B1B" w:rsidRPr="005C336D" w:rsidRDefault="00726B1B" w:rsidP="0038184A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 xml:space="preserve">zapsané v registru sdružení vedeném u Magistrátu hlavního města Prahy, odbor </w:t>
      </w:r>
      <w:proofErr w:type="spellStart"/>
      <w:r w:rsidRPr="005C336D">
        <w:rPr>
          <w:rFonts w:ascii="Verdana" w:hAnsi="Verdana" w:cs="Verdana"/>
        </w:rPr>
        <w:t>občanskosprávních</w:t>
      </w:r>
      <w:proofErr w:type="spellEnd"/>
      <w:r w:rsidRPr="005C336D">
        <w:rPr>
          <w:rFonts w:ascii="Verdana" w:hAnsi="Verdana" w:cs="Verdana"/>
        </w:rPr>
        <w:t xml:space="preserve"> agend, Mariánské nám. 2, 110 00 Praha 1,</w:t>
      </w:r>
      <w:r>
        <w:rPr>
          <w:rFonts w:ascii="Verdana" w:hAnsi="Verdana" w:cs="Verdana"/>
        </w:rPr>
        <w:t xml:space="preserve"> pod č. </w:t>
      </w:r>
      <w:proofErr w:type="spellStart"/>
      <w:r>
        <w:rPr>
          <w:rFonts w:ascii="Verdana" w:hAnsi="Verdana" w:cs="Verdana"/>
        </w:rPr>
        <w:t>reg</w:t>
      </w:r>
      <w:proofErr w:type="spellEnd"/>
      <w:r>
        <w:rPr>
          <w:rFonts w:ascii="Verdana" w:hAnsi="Verdana" w:cs="Verdana"/>
        </w:rPr>
        <w:t>.: ZS 22/2/96</w:t>
      </w:r>
    </w:p>
    <w:p w:rsidR="00726B1B" w:rsidRPr="005C336D" w:rsidRDefault="00726B1B" w:rsidP="0038184A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sídlo:</w:t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  <w:t>Zikova 4, 160 00 Praha 6</w:t>
      </w:r>
    </w:p>
    <w:p w:rsidR="00726B1B" w:rsidRPr="005C336D" w:rsidRDefault="00726B1B" w:rsidP="0038184A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IČ:</w:t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  <w:t>63839172</w:t>
      </w:r>
    </w:p>
    <w:p w:rsidR="00726B1B" w:rsidRPr="005C336D" w:rsidRDefault="00726B1B" w:rsidP="0038184A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DIČ:</w:t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  <w:t>CZ63839172</w:t>
      </w:r>
    </w:p>
    <w:p w:rsidR="00726B1B" w:rsidRPr="005C336D" w:rsidRDefault="00726B1B" w:rsidP="0038184A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Bankovní spojení:</w:t>
      </w:r>
      <w:r w:rsidRPr="005C336D">
        <w:rPr>
          <w:rFonts w:ascii="Verdana" w:hAnsi="Verdana" w:cs="Verdana"/>
        </w:rPr>
        <w:tab/>
        <w:t>Komerční banka a.s., pobočka Praha 6</w:t>
      </w:r>
    </w:p>
    <w:p w:rsidR="00726B1B" w:rsidRPr="005C336D" w:rsidRDefault="00726B1B" w:rsidP="0038184A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č. účtu:</w:t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  <w:t xml:space="preserve">19-8482200297/0100 </w:t>
      </w:r>
    </w:p>
    <w:p w:rsidR="00726B1B" w:rsidRPr="005C336D" w:rsidRDefault="00726B1B" w:rsidP="00B86DC7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jednající:</w:t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  <w:t>Ing. Jan Gruntorád, CSc., ředitel</w:t>
      </w:r>
    </w:p>
    <w:p w:rsidR="00726B1B" w:rsidRPr="005C336D" w:rsidRDefault="00726B1B" w:rsidP="0038184A">
      <w:pPr>
        <w:tabs>
          <w:tab w:val="right" w:pos="1843"/>
        </w:tabs>
        <w:spacing w:before="80" w:after="80"/>
        <w:rPr>
          <w:rFonts w:ascii="Verdana" w:hAnsi="Verdana" w:cs="Verdana"/>
        </w:rPr>
      </w:pPr>
    </w:p>
    <w:p w:rsidR="00726B1B" w:rsidRPr="005C336D" w:rsidRDefault="00726B1B" w:rsidP="00B86DC7">
      <w:pPr>
        <w:pStyle w:val="text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prodávajícím</w:t>
      </w:r>
      <w:r w:rsidRPr="005C336D">
        <w:rPr>
          <w:rFonts w:ascii="Verdana" w:hAnsi="Verdana" w:cs="Verdana"/>
          <w:i/>
          <w:iCs/>
        </w:rPr>
        <w:t>:</w:t>
      </w:r>
    </w:p>
    <w:p w:rsidR="00726B1B" w:rsidRPr="005C336D" w:rsidRDefault="00726B1B" w:rsidP="00B86DC7">
      <w:pPr>
        <w:spacing w:before="80" w:after="80"/>
        <w:rPr>
          <w:rFonts w:ascii="Verdana" w:hAnsi="Verdana" w:cs="Verdana"/>
          <w:b/>
          <w:bCs/>
          <w:sz w:val="22"/>
          <w:szCs w:val="22"/>
        </w:rPr>
      </w:pPr>
      <w:r w:rsidRPr="005C336D">
        <w:rPr>
          <w:rFonts w:ascii="Verdana" w:hAnsi="Verdana" w:cs="Verdana"/>
          <w:b/>
          <w:bCs/>
          <w:sz w:val="22"/>
          <w:szCs w:val="22"/>
        </w:rPr>
        <w:t>…(firma)…</w:t>
      </w:r>
    </w:p>
    <w:p w:rsidR="00726B1B" w:rsidRPr="005C336D" w:rsidRDefault="00726B1B" w:rsidP="00B86DC7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zapsaná v obchodním rejstříku vedeném … (název soudu)…, oddíl …, vložka …</w:t>
      </w:r>
    </w:p>
    <w:p w:rsidR="00726B1B" w:rsidRPr="005C336D" w:rsidRDefault="00726B1B" w:rsidP="00B86DC7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sídlo:</w:t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  <w:t>………</w:t>
      </w:r>
    </w:p>
    <w:p w:rsidR="00726B1B" w:rsidRPr="005C336D" w:rsidRDefault="00726B1B" w:rsidP="00B86DC7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IČO:</w:t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  <w:t>…</w:t>
      </w:r>
    </w:p>
    <w:p w:rsidR="00726B1B" w:rsidRPr="005C336D" w:rsidRDefault="00726B1B" w:rsidP="00B86DC7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DIČ:</w:t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  <w:t>…</w:t>
      </w:r>
    </w:p>
    <w:p w:rsidR="00726B1B" w:rsidRPr="005C336D" w:rsidRDefault="00726B1B" w:rsidP="00B86DC7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Bankovní spojení:</w:t>
      </w:r>
      <w:r w:rsidRPr="005C336D">
        <w:rPr>
          <w:rFonts w:ascii="Verdana" w:hAnsi="Verdana" w:cs="Verdana"/>
        </w:rPr>
        <w:tab/>
        <w:t>…(banka, příp. pobočka)…</w:t>
      </w:r>
    </w:p>
    <w:p w:rsidR="00726B1B" w:rsidRPr="005C336D" w:rsidRDefault="00726B1B" w:rsidP="00B86DC7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č. účtu:</w:t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  <w:t>…</w:t>
      </w:r>
    </w:p>
    <w:p w:rsidR="00726B1B" w:rsidRPr="005C336D" w:rsidRDefault="00726B1B" w:rsidP="00B86DC7">
      <w:pPr>
        <w:pStyle w:val="text"/>
        <w:rPr>
          <w:rFonts w:ascii="Verdana" w:hAnsi="Verdana" w:cs="Verdana"/>
        </w:rPr>
      </w:pPr>
      <w:r w:rsidRPr="005C336D">
        <w:rPr>
          <w:rFonts w:ascii="Verdana" w:hAnsi="Verdana" w:cs="Verdana"/>
        </w:rPr>
        <w:t>zastoupená:</w:t>
      </w:r>
      <w:r w:rsidRPr="005C336D">
        <w:rPr>
          <w:rFonts w:ascii="Verdana" w:hAnsi="Verdana" w:cs="Verdana"/>
        </w:rPr>
        <w:tab/>
      </w:r>
      <w:r w:rsidRPr="005C336D">
        <w:rPr>
          <w:rFonts w:ascii="Verdana" w:hAnsi="Verdana" w:cs="Verdana"/>
        </w:rPr>
        <w:tab/>
        <w:t>…(jméno, funkce)…</w:t>
      </w:r>
    </w:p>
    <w:p w:rsidR="00726B1B" w:rsidRPr="005C336D" w:rsidRDefault="00726B1B" w:rsidP="0038184A">
      <w:pPr>
        <w:tabs>
          <w:tab w:val="right" w:pos="1843"/>
        </w:tabs>
        <w:spacing w:before="80" w:after="80"/>
        <w:rPr>
          <w:rFonts w:ascii="Verdana" w:hAnsi="Verdana" w:cs="Verdana"/>
        </w:rPr>
      </w:pPr>
    </w:p>
    <w:p w:rsidR="00726B1B" w:rsidRPr="005C336D" w:rsidRDefault="00726B1B" w:rsidP="000A4324">
      <w:pPr>
        <w:pStyle w:val="Nadpis2"/>
        <w:keepNext w:val="0"/>
        <w:numPr>
          <w:ilvl w:val="0"/>
          <w:numId w:val="14"/>
        </w:numPr>
        <w:spacing w:before="80" w:after="80"/>
        <w:ind w:left="357" w:hanging="357"/>
        <w:jc w:val="center"/>
        <w:rPr>
          <w:rFonts w:ascii="Verdana" w:hAnsi="Verdana" w:cs="Verdana"/>
          <w:sz w:val="22"/>
          <w:szCs w:val="22"/>
        </w:rPr>
      </w:pPr>
    </w:p>
    <w:p w:rsidR="00726B1B" w:rsidRPr="005C336D" w:rsidRDefault="00726B1B" w:rsidP="000A4324">
      <w:pPr>
        <w:pStyle w:val="Nadpis2"/>
        <w:keepNext w:val="0"/>
        <w:spacing w:before="80" w:after="80"/>
        <w:jc w:val="center"/>
        <w:rPr>
          <w:rFonts w:ascii="Verdana" w:hAnsi="Verdana" w:cs="Verdana"/>
          <w:sz w:val="22"/>
          <w:szCs w:val="22"/>
        </w:rPr>
      </w:pPr>
      <w:r w:rsidRPr="005C336D">
        <w:rPr>
          <w:rFonts w:ascii="Verdana" w:hAnsi="Verdana" w:cs="Verdana"/>
          <w:sz w:val="22"/>
          <w:szCs w:val="22"/>
        </w:rPr>
        <w:t>Předmět plnění smlouvy</w:t>
      </w:r>
    </w:p>
    <w:p w:rsidR="000D1310" w:rsidRDefault="000D1310" w:rsidP="000D1310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5C336D">
        <w:rPr>
          <w:rFonts w:ascii="Verdana" w:hAnsi="Verdana" w:cs="Verdana"/>
          <w:b w:val="0"/>
          <w:bCs w:val="0"/>
          <w:sz w:val="20"/>
          <w:szCs w:val="20"/>
        </w:rPr>
        <w:t>Předmětem plnění této smlouvy je dodávka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Pr="006945E6">
        <w:rPr>
          <w:rFonts w:ascii="Verdana" w:hAnsi="Verdana" w:cs="Verdana"/>
          <w:b w:val="0"/>
          <w:snapToGrid w:val="0"/>
          <w:sz w:val="20"/>
          <w:szCs w:val="20"/>
        </w:rPr>
        <w:t xml:space="preserve">optického modulačního </w:t>
      </w:r>
      <w:proofErr w:type="gramStart"/>
      <w:r w:rsidRPr="006945E6">
        <w:rPr>
          <w:rFonts w:ascii="Verdana" w:hAnsi="Verdana" w:cs="Verdana"/>
          <w:b w:val="0"/>
          <w:snapToGrid w:val="0"/>
          <w:sz w:val="20"/>
          <w:szCs w:val="20"/>
        </w:rPr>
        <w:t>analyzátoru</w:t>
      </w:r>
      <w:r>
        <w:rPr>
          <w:rFonts w:ascii="Verdana" w:hAnsi="Verdana" w:cs="Verdana"/>
          <w:b w:val="0"/>
          <w:snapToGrid w:val="0"/>
          <w:sz w:val="20"/>
          <w:szCs w:val="20"/>
        </w:rPr>
        <w:t xml:space="preserve"> </w:t>
      </w:r>
      <w:r w:rsidRPr="006945E6">
        <w:rPr>
          <w:rFonts w:ascii="Verdana" w:hAnsi="Verdana"/>
          <w:b w:val="0"/>
          <w:sz w:val="20"/>
          <w:szCs w:val="20"/>
        </w:rPr>
        <w:t xml:space="preserve"> </w:t>
      </w:r>
      <w:r w:rsidR="002E5DBB" w:rsidRPr="002E5DBB">
        <w:rPr>
          <w:rFonts w:ascii="Verdana" w:hAnsi="Verdana"/>
          <w:b w:val="0"/>
          <w:sz w:val="20"/>
          <w:szCs w:val="20"/>
        </w:rPr>
        <w:t>pro</w:t>
      </w:r>
      <w:proofErr w:type="gramEnd"/>
      <w:r w:rsidR="002E5DBB" w:rsidRPr="002E5DBB">
        <w:rPr>
          <w:rFonts w:ascii="Verdana" w:hAnsi="Verdana"/>
          <w:b w:val="0"/>
          <w:sz w:val="20"/>
          <w:szCs w:val="20"/>
        </w:rPr>
        <w:t xml:space="preserve"> měření vysokorychlostních signálů</w:t>
      </w:r>
      <w:r w:rsidR="002E5DBB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(</w:t>
      </w:r>
      <w:r>
        <w:rPr>
          <w:rFonts w:ascii="Verdana" w:hAnsi="Verdana" w:cs="Verdana"/>
          <w:b w:val="0"/>
          <w:bCs w:val="0"/>
          <w:sz w:val="20"/>
          <w:szCs w:val="20"/>
        </w:rPr>
        <w:t>dále také jen „analyzátor“)</w:t>
      </w:r>
      <w:r w:rsidRPr="006945E6">
        <w:rPr>
          <w:rFonts w:ascii="Verdana" w:hAnsi="Verdana" w:cs="Verdana"/>
          <w:b w:val="0"/>
          <w:snapToGrid w:val="0"/>
          <w:sz w:val="20"/>
          <w:szCs w:val="20"/>
        </w:rPr>
        <w:t xml:space="preserve"> </w:t>
      </w:r>
      <w:r w:rsidRPr="005C336D">
        <w:rPr>
          <w:rFonts w:ascii="Verdana" w:hAnsi="Verdana" w:cs="Verdana"/>
          <w:b w:val="0"/>
          <w:bCs w:val="0"/>
          <w:sz w:val="20"/>
          <w:szCs w:val="20"/>
        </w:rPr>
        <w:t xml:space="preserve">a to v souladu s nabídkou </w:t>
      </w:r>
      <w:r>
        <w:rPr>
          <w:rFonts w:ascii="Verdana" w:hAnsi="Verdana" w:cs="Verdana"/>
          <w:b w:val="0"/>
          <w:bCs w:val="0"/>
          <w:sz w:val="20"/>
          <w:szCs w:val="20"/>
        </w:rPr>
        <w:t>prodávajícího</w:t>
      </w:r>
      <w:r w:rsidRPr="005C336D">
        <w:rPr>
          <w:rFonts w:ascii="Verdana" w:hAnsi="Verdana" w:cs="Verdana"/>
          <w:b w:val="0"/>
          <w:bCs w:val="0"/>
          <w:sz w:val="20"/>
          <w:szCs w:val="20"/>
        </w:rPr>
        <w:t xml:space="preserve"> podanou na plnění veřejné zakázky s názvem „</w:t>
      </w:r>
      <w:r>
        <w:rPr>
          <w:rFonts w:ascii="Verdana" w:hAnsi="Verdana" w:cs="Verdana"/>
          <w:b w:val="0"/>
          <w:bCs w:val="0"/>
          <w:snapToGrid w:val="0"/>
          <w:sz w:val="20"/>
          <w:szCs w:val="20"/>
        </w:rPr>
        <w:t>Optický modulační analyzátor</w:t>
      </w:r>
      <w:r w:rsidRPr="005C336D">
        <w:rPr>
          <w:rFonts w:ascii="Verdana" w:hAnsi="Verdana" w:cs="Verdana"/>
          <w:b w:val="0"/>
          <w:bCs w:val="0"/>
          <w:sz w:val="20"/>
          <w:szCs w:val="20"/>
        </w:rPr>
        <w:t>“ a zadávacími podmínkami k této veřejné zakázce (dále jen „</w:t>
      </w:r>
      <w:r w:rsidRPr="005C336D">
        <w:rPr>
          <w:rFonts w:ascii="Verdana" w:hAnsi="Verdana" w:cs="Verdana"/>
          <w:b w:val="0"/>
          <w:bCs w:val="0"/>
          <w:i/>
          <w:iCs/>
          <w:sz w:val="20"/>
          <w:szCs w:val="20"/>
        </w:rPr>
        <w:t>veřejná zakázka</w:t>
      </w:r>
      <w:r w:rsidRPr="005C336D">
        <w:rPr>
          <w:rFonts w:ascii="Verdana" w:hAnsi="Verdana" w:cs="Verdana"/>
          <w:b w:val="0"/>
          <w:bCs w:val="0"/>
          <w:sz w:val="20"/>
          <w:szCs w:val="20"/>
        </w:rPr>
        <w:t>“)</w:t>
      </w:r>
      <w:r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0D1310" w:rsidRPr="000D1310" w:rsidRDefault="000D1310" w:rsidP="000D1310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 w:rsidRPr="005C336D">
        <w:rPr>
          <w:rFonts w:ascii="Verdana" w:hAnsi="Verdana" w:cs="Verdana"/>
          <w:b w:val="0"/>
          <w:bCs w:val="0"/>
          <w:sz w:val="20"/>
          <w:szCs w:val="20"/>
        </w:rPr>
        <w:t xml:space="preserve"> se zavazuje za řádně poskytnuté plnění uhradit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>
        <w:rPr>
          <w:rFonts w:ascii="Verdana" w:hAnsi="Verdana" w:cs="Verdana"/>
          <w:b w:val="0"/>
          <w:bCs w:val="0"/>
          <w:sz w:val="20"/>
          <w:szCs w:val="20"/>
        </w:rPr>
        <w:t>mu</w:t>
      </w:r>
      <w:r w:rsidRPr="005C336D">
        <w:rPr>
          <w:rFonts w:ascii="Verdana" w:hAnsi="Verdana" w:cs="Verdana"/>
          <w:b w:val="0"/>
          <w:bCs w:val="0"/>
          <w:sz w:val="20"/>
          <w:szCs w:val="20"/>
        </w:rPr>
        <w:t xml:space="preserve"> dohodnutou cenu</w:t>
      </w:r>
      <w:r w:rsidR="00726B1B" w:rsidRPr="005C336D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726B1B" w:rsidRDefault="000D1310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Podrobný popis analyzátoru a jeho jednotlivých komponent dodávaných na základě této kupní smlouvy je uveden v příloze č. 1, která tvoří nedílnou součást této smlouvy</w:t>
      </w:r>
      <w:r w:rsidR="00726B1B" w:rsidRPr="005C336D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0D1310" w:rsidRPr="000D1310" w:rsidRDefault="000D1310" w:rsidP="000D1310"/>
    <w:p w:rsidR="000D1310" w:rsidRDefault="000D1310" w:rsidP="000D1310"/>
    <w:p w:rsidR="000D1310" w:rsidRPr="000D1310" w:rsidRDefault="000D1310" w:rsidP="000D1310"/>
    <w:p w:rsidR="000D1310" w:rsidRPr="000D1310" w:rsidRDefault="000D1310" w:rsidP="000D1310"/>
    <w:p w:rsidR="00726B1B" w:rsidRPr="000A4324" w:rsidRDefault="00726B1B" w:rsidP="000A4324"/>
    <w:p w:rsidR="00726B1B" w:rsidRPr="005C336D" w:rsidRDefault="00726B1B" w:rsidP="000A4324">
      <w:pPr>
        <w:pStyle w:val="Nadpis2"/>
        <w:keepNext w:val="0"/>
        <w:numPr>
          <w:ilvl w:val="0"/>
          <w:numId w:val="14"/>
        </w:numPr>
        <w:spacing w:before="80" w:after="80"/>
        <w:ind w:left="357" w:hanging="357"/>
        <w:jc w:val="center"/>
        <w:rPr>
          <w:rFonts w:ascii="Verdana" w:hAnsi="Verdana" w:cs="Verdana"/>
          <w:sz w:val="22"/>
          <w:szCs w:val="22"/>
        </w:rPr>
      </w:pPr>
    </w:p>
    <w:p w:rsidR="00726B1B" w:rsidRPr="000A4324" w:rsidRDefault="00726B1B" w:rsidP="000A4324">
      <w:pPr>
        <w:pStyle w:val="Nadpis2"/>
        <w:keepNext w:val="0"/>
        <w:spacing w:before="80" w:after="8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Dodání předmětu plnění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bookmarkStart w:id="1" w:name="_Ref323137035"/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Řádně </w:t>
      </w:r>
      <w:r>
        <w:rPr>
          <w:rFonts w:ascii="Verdana" w:hAnsi="Verdana" w:cs="Verdana"/>
          <w:b w:val="0"/>
          <w:bCs w:val="0"/>
          <w:sz w:val="20"/>
          <w:szCs w:val="20"/>
        </w:rPr>
        <w:t>dodaným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plněním se rozumí řádně ukončená dodávka předmětu plnění. </w:t>
      </w:r>
      <w:r>
        <w:rPr>
          <w:rFonts w:ascii="Verdana" w:hAnsi="Verdana" w:cs="Verdana"/>
          <w:b w:val="0"/>
          <w:bCs w:val="0"/>
          <w:sz w:val="20"/>
          <w:szCs w:val="20"/>
        </w:rPr>
        <w:t>Po řádném dodání předmětu plnění sepíšou a podepíšou určené osoby kupujícího a prodávajícího předávací protokol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, který bude podkladem pro fakturaci. Tento protokol podepsaný </w:t>
      </w:r>
      <w:r>
        <w:rPr>
          <w:rFonts w:ascii="Verdana" w:hAnsi="Verdana" w:cs="Verdana"/>
          <w:b w:val="0"/>
          <w:bCs w:val="0"/>
          <w:sz w:val="20"/>
          <w:szCs w:val="20"/>
        </w:rPr>
        <w:t>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>
        <w:rPr>
          <w:rFonts w:ascii="Verdana" w:hAnsi="Verdana" w:cs="Verdana"/>
          <w:b w:val="0"/>
          <w:bCs w:val="0"/>
          <w:sz w:val="20"/>
          <w:szCs w:val="20"/>
        </w:rPr>
        <w:t>m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bude tvořit přílohu daňového dokladu – faktury.</w:t>
      </w:r>
      <w:bookmarkEnd w:id="1"/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P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rodávající</w:t>
      </w:r>
      <w:r w:rsidR="00602029">
        <w:rPr>
          <w:rFonts w:ascii="Verdana" w:hAnsi="Verdana" w:cs="Verdana"/>
          <w:b w:val="0"/>
          <w:bCs w:val="0"/>
          <w:sz w:val="20"/>
          <w:szCs w:val="20"/>
        </w:rPr>
        <w:t xml:space="preserve"> se zavazuje dodat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originální a nov</w:t>
      </w:r>
      <w:r>
        <w:rPr>
          <w:rFonts w:ascii="Verdana" w:hAnsi="Verdana" w:cs="Verdana"/>
          <w:b w:val="0"/>
          <w:bCs w:val="0"/>
          <w:sz w:val="20"/>
          <w:szCs w:val="20"/>
        </w:rPr>
        <w:t>ý</w:t>
      </w:r>
      <w:r w:rsidR="00602029">
        <w:rPr>
          <w:rFonts w:ascii="Verdana" w:hAnsi="Verdana" w:cs="Verdana"/>
          <w:b w:val="0"/>
          <w:bCs w:val="0"/>
          <w:sz w:val="20"/>
          <w:szCs w:val="20"/>
        </w:rPr>
        <w:t xml:space="preserve">, </w:t>
      </w:r>
      <w:r w:rsidR="006945E6">
        <w:rPr>
          <w:rFonts w:ascii="Verdana" w:hAnsi="Verdana" w:cs="Verdana"/>
          <w:b w:val="0"/>
          <w:bCs w:val="0"/>
          <w:sz w:val="20"/>
          <w:szCs w:val="20"/>
        </w:rPr>
        <w:t>případně plně funkční repasovaný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analyzátor (včetně potřebného software)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, přičemž je povinen 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původ analyzátoru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na požádání </w:t>
      </w:r>
      <w:r>
        <w:rPr>
          <w:rFonts w:ascii="Verdana" w:hAnsi="Verdana" w:cs="Verdana"/>
          <w:b w:val="0"/>
          <w:bCs w:val="0"/>
          <w:sz w:val="20"/>
          <w:szCs w:val="20"/>
        </w:rPr>
        <w:t>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prokázat. </w:t>
      </w:r>
      <w:r>
        <w:rPr>
          <w:rFonts w:ascii="Verdana" w:hAnsi="Verdana" w:cs="Verdana"/>
          <w:b w:val="0"/>
          <w:bCs w:val="0"/>
          <w:sz w:val="20"/>
          <w:szCs w:val="20"/>
        </w:rPr>
        <w:t>P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rodávající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je dále povinen kdykoliv na vyžádání </w:t>
      </w:r>
      <w:r>
        <w:rPr>
          <w:rFonts w:ascii="Verdana" w:hAnsi="Verdana" w:cs="Verdana"/>
          <w:b w:val="0"/>
          <w:bCs w:val="0"/>
          <w:sz w:val="20"/>
          <w:szCs w:val="20"/>
        </w:rPr>
        <w:t>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>
        <w:rPr>
          <w:rFonts w:ascii="Verdana" w:hAnsi="Verdana" w:cs="Verdana"/>
          <w:b w:val="0"/>
          <w:bCs w:val="0"/>
          <w:sz w:val="20"/>
          <w:szCs w:val="20"/>
        </w:rPr>
        <w:t>ho doložit, že dodaný analyzátor splňuje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příslušné technické normy a právní předpisy platné v ČR.  </w:t>
      </w:r>
      <w:r>
        <w:rPr>
          <w:rFonts w:ascii="Verdana" w:hAnsi="Verdana" w:cs="Verdana"/>
          <w:b w:val="0"/>
          <w:bCs w:val="0"/>
          <w:sz w:val="20"/>
          <w:szCs w:val="20"/>
        </w:rPr>
        <w:t>P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rodávající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je </w:t>
      </w:r>
      <w:r>
        <w:rPr>
          <w:rFonts w:ascii="Verdana" w:hAnsi="Verdana" w:cs="Verdana"/>
          <w:b w:val="0"/>
          <w:bCs w:val="0"/>
          <w:sz w:val="20"/>
          <w:szCs w:val="20"/>
        </w:rPr>
        <w:t>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>
        <w:rPr>
          <w:rFonts w:ascii="Verdana" w:hAnsi="Verdana" w:cs="Verdana"/>
          <w:b w:val="0"/>
          <w:bCs w:val="0"/>
          <w:sz w:val="20"/>
          <w:szCs w:val="20"/>
        </w:rPr>
        <w:t>mu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rovněž povinen bezodkladně doložit příslušné certi</w:t>
      </w:r>
      <w:r>
        <w:rPr>
          <w:rFonts w:ascii="Verdana" w:hAnsi="Verdana" w:cs="Verdana"/>
          <w:b w:val="0"/>
          <w:bCs w:val="0"/>
          <w:sz w:val="20"/>
          <w:szCs w:val="20"/>
        </w:rPr>
        <w:t>fikáty a osvědčení k dodávanému analyzátoru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, pokud o to bude </w:t>
      </w:r>
      <w:r>
        <w:rPr>
          <w:rFonts w:ascii="Verdana" w:hAnsi="Verdana" w:cs="Verdana"/>
          <w:b w:val="0"/>
          <w:bCs w:val="0"/>
          <w:sz w:val="20"/>
          <w:szCs w:val="20"/>
        </w:rPr>
        <w:t>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>
        <w:rPr>
          <w:rFonts w:ascii="Verdana" w:hAnsi="Verdana" w:cs="Verdana"/>
          <w:b w:val="0"/>
          <w:bCs w:val="0"/>
          <w:sz w:val="20"/>
          <w:szCs w:val="20"/>
        </w:rPr>
        <w:t>m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požádán.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P</w:t>
      </w:r>
      <w:r w:rsidRPr="00865664">
        <w:rPr>
          <w:rFonts w:ascii="Verdana" w:hAnsi="Verdana" w:cs="Verdana"/>
          <w:b w:val="0"/>
          <w:bCs w:val="0"/>
          <w:sz w:val="20"/>
          <w:szCs w:val="20"/>
        </w:rPr>
        <w:t>ovinnost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i </w:t>
      </w:r>
      <w:r w:rsidRPr="00865664">
        <w:rPr>
          <w:rFonts w:ascii="Verdana" w:hAnsi="Verdana" w:cs="Verdana"/>
          <w:b w:val="0"/>
          <w:bCs w:val="0"/>
          <w:sz w:val="20"/>
          <w:szCs w:val="20"/>
        </w:rPr>
        <w:t xml:space="preserve">prodávajícího 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uvedené v tomto odstavci </w:t>
      </w:r>
      <w:r w:rsidRPr="00865664">
        <w:rPr>
          <w:rFonts w:ascii="Verdana" w:hAnsi="Verdana" w:cs="Verdana"/>
          <w:b w:val="0"/>
          <w:bCs w:val="0"/>
          <w:sz w:val="20"/>
          <w:szCs w:val="20"/>
        </w:rPr>
        <w:t xml:space="preserve">platí </w:t>
      </w:r>
      <w:r w:rsidR="00DC3273">
        <w:rPr>
          <w:rFonts w:ascii="Verdana" w:hAnsi="Verdana" w:cs="Verdana"/>
          <w:b w:val="0"/>
          <w:bCs w:val="0"/>
          <w:sz w:val="20"/>
          <w:szCs w:val="20"/>
        </w:rPr>
        <w:t>12</w:t>
      </w:r>
      <w:r w:rsidRPr="00865664">
        <w:rPr>
          <w:rFonts w:ascii="Verdana" w:hAnsi="Verdana" w:cs="Verdana"/>
          <w:b w:val="0"/>
          <w:bCs w:val="0"/>
          <w:sz w:val="20"/>
          <w:szCs w:val="20"/>
        </w:rPr>
        <w:t xml:space="preserve"> měsíců ode dne účinnosti této smlouvy</w:t>
      </w:r>
      <w:r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726B1B" w:rsidRPr="005C336D" w:rsidRDefault="00726B1B" w:rsidP="00071A7D">
      <w:pPr>
        <w:rPr>
          <w:rFonts w:ascii="Verdana" w:hAnsi="Verdana" w:cs="Verdana"/>
        </w:rPr>
      </w:pPr>
    </w:p>
    <w:p w:rsidR="00726B1B" w:rsidRPr="005C336D" w:rsidRDefault="00726B1B" w:rsidP="000A4324">
      <w:pPr>
        <w:pStyle w:val="Nadpis2"/>
        <w:keepNext w:val="0"/>
        <w:numPr>
          <w:ilvl w:val="0"/>
          <w:numId w:val="14"/>
        </w:numPr>
        <w:spacing w:before="80" w:after="80"/>
        <w:ind w:left="357" w:hanging="357"/>
        <w:jc w:val="center"/>
        <w:rPr>
          <w:rFonts w:ascii="Verdana" w:hAnsi="Verdana" w:cs="Verdana"/>
          <w:sz w:val="22"/>
          <w:szCs w:val="22"/>
        </w:rPr>
      </w:pPr>
    </w:p>
    <w:p w:rsidR="00726B1B" w:rsidRPr="000A4324" w:rsidRDefault="00726B1B" w:rsidP="000A4324">
      <w:pPr>
        <w:pStyle w:val="Nadpis2"/>
        <w:keepNext w:val="0"/>
        <w:spacing w:before="80" w:after="80"/>
        <w:jc w:val="center"/>
        <w:rPr>
          <w:rFonts w:ascii="Verdana" w:hAnsi="Verdana" w:cs="Verdana"/>
          <w:sz w:val="22"/>
          <w:szCs w:val="22"/>
        </w:rPr>
      </w:pPr>
      <w:r w:rsidRPr="000A4324">
        <w:rPr>
          <w:rFonts w:ascii="Verdana" w:hAnsi="Verdana" w:cs="Verdana"/>
          <w:sz w:val="22"/>
          <w:szCs w:val="22"/>
        </w:rPr>
        <w:t xml:space="preserve">Doba a místo plnění 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P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rodávající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je povinen poskytnout plnění předmětu této smlouvy nejpozději do </w:t>
      </w:r>
      <w:r>
        <w:rPr>
          <w:rFonts w:ascii="Verdana" w:hAnsi="Verdana" w:cs="Verdana"/>
          <w:b w:val="0"/>
          <w:bCs w:val="0"/>
          <w:sz w:val="20"/>
          <w:szCs w:val="20"/>
        </w:rPr>
        <w:t>6 týdnů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ode dne nabytí účinnosti této smlouvy.</w:t>
      </w:r>
    </w:p>
    <w:p w:rsidR="00726B1B" w:rsidRPr="006945E6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Místem plnění 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této smlouvy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je </w:t>
      </w:r>
      <w:r w:rsidR="006945E6" w:rsidRPr="006945E6">
        <w:rPr>
          <w:rFonts w:ascii="Verdana" w:eastAsia="Calibri" w:hAnsi="Verdana" w:cs="Verdana"/>
          <w:b w:val="0"/>
          <w:sz w:val="20"/>
          <w:szCs w:val="20"/>
          <w:lang w:eastAsia="cs-CZ"/>
        </w:rPr>
        <w:t xml:space="preserve">sídlo </w:t>
      </w:r>
      <w:r w:rsidR="006945E6">
        <w:rPr>
          <w:rFonts w:ascii="Verdana" w:eastAsia="Calibri" w:hAnsi="Verdana" w:cs="Verdana"/>
          <w:b w:val="0"/>
          <w:sz w:val="20"/>
          <w:szCs w:val="20"/>
          <w:lang w:eastAsia="cs-CZ"/>
        </w:rPr>
        <w:t>kupujícího</w:t>
      </w:r>
      <w:r w:rsidR="006945E6" w:rsidRPr="006945E6">
        <w:rPr>
          <w:rFonts w:ascii="Verdana" w:eastAsia="Calibri" w:hAnsi="Verdana" w:cs="Verdana"/>
          <w:b w:val="0"/>
          <w:sz w:val="20"/>
          <w:szCs w:val="20"/>
          <w:lang w:eastAsia="cs-CZ"/>
        </w:rPr>
        <w:t xml:space="preserve"> n</w:t>
      </w:r>
      <w:r w:rsidR="006945E6">
        <w:rPr>
          <w:rFonts w:ascii="Verdana" w:eastAsia="Calibri" w:hAnsi="Verdana" w:cs="Verdana"/>
          <w:b w:val="0"/>
          <w:sz w:val="20"/>
          <w:szCs w:val="20"/>
          <w:lang w:eastAsia="cs-CZ"/>
        </w:rPr>
        <w:t>a adrese Zikova 1903/4, Praha 6</w:t>
      </w:r>
      <w:r w:rsidRPr="006945E6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726B1B" w:rsidRPr="005C336D" w:rsidRDefault="00726B1B" w:rsidP="00B66EA9">
      <w:pPr>
        <w:pStyle w:val="Nadpis2"/>
        <w:spacing w:before="80" w:after="80"/>
        <w:rPr>
          <w:rFonts w:ascii="Verdana" w:hAnsi="Verdana" w:cs="Verdana"/>
          <w:b w:val="0"/>
          <w:bCs w:val="0"/>
          <w:sz w:val="20"/>
          <w:szCs w:val="20"/>
        </w:rPr>
      </w:pPr>
    </w:p>
    <w:p w:rsidR="00726B1B" w:rsidRPr="005C336D" w:rsidRDefault="00726B1B" w:rsidP="000A4324">
      <w:pPr>
        <w:pStyle w:val="Nadpis2"/>
        <w:keepNext w:val="0"/>
        <w:numPr>
          <w:ilvl w:val="0"/>
          <w:numId w:val="14"/>
        </w:numPr>
        <w:spacing w:before="80" w:after="80"/>
        <w:ind w:left="357" w:hanging="357"/>
        <w:jc w:val="center"/>
        <w:rPr>
          <w:rFonts w:ascii="Verdana" w:hAnsi="Verdana" w:cs="Verdana"/>
          <w:sz w:val="22"/>
          <w:szCs w:val="22"/>
        </w:rPr>
      </w:pPr>
    </w:p>
    <w:p w:rsidR="00726B1B" w:rsidRPr="000A4324" w:rsidRDefault="00726B1B" w:rsidP="000A4324">
      <w:pPr>
        <w:pStyle w:val="Nadpis2"/>
        <w:keepNext w:val="0"/>
        <w:spacing w:before="80" w:after="80"/>
        <w:jc w:val="center"/>
        <w:rPr>
          <w:rFonts w:ascii="Verdana" w:hAnsi="Verdana" w:cs="Verdana"/>
          <w:sz w:val="22"/>
          <w:szCs w:val="22"/>
        </w:rPr>
      </w:pPr>
      <w:r w:rsidRPr="000A4324">
        <w:rPr>
          <w:rFonts w:ascii="Verdana" w:hAnsi="Verdana" w:cs="Verdana"/>
          <w:sz w:val="22"/>
          <w:szCs w:val="22"/>
        </w:rPr>
        <w:t>Cena za předmět plnění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Celková cena </w:t>
      </w:r>
      <w:r>
        <w:rPr>
          <w:rFonts w:ascii="Verdana" w:hAnsi="Verdana" w:cs="Verdana"/>
          <w:b w:val="0"/>
          <w:bCs w:val="0"/>
          <w:sz w:val="20"/>
          <w:szCs w:val="20"/>
        </w:rPr>
        <w:t>plnění podle této smlouvy (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za řádné dodání 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analyzátoru)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je stanovena na základě výsledku zadávacího řízení na zadání veřejné zakázky a činí ………</w:t>
      </w:r>
      <w:proofErr w:type="gramStart"/>
      <w:r w:rsidRPr="000A4324">
        <w:rPr>
          <w:rFonts w:ascii="Verdana" w:hAnsi="Verdana" w:cs="Verdana"/>
          <w:b w:val="0"/>
          <w:bCs w:val="0"/>
          <w:sz w:val="20"/>
          <w:szCs w:val="20"/>
        </w:rPr>
        <w:t>….. (cena</w:t>
      </w:r>
      <w:proofErr w:type="gramEnd"/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) ………… Kč (slovy ……… Korun českých) bez DPH. 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Stanovená cena je nejvýše přípustná za plnění celé </w:t>
      </w:r>
      <w:r>
        <w:rPr>
          <w:rFonts w:ascii="Verdana" w:hAnsi="Verdana" w:cs="Verdana"/>
          <w:b w:val="0"/>
          <w:bCs w:val="0"/>
          <w:sz w:val="20"/>
          <w:szCs w:val="20"/>
        </w:rPr>
        <w:t>smlouvy (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veřejné zakázky</w:t>
      </w:r>
      <w:r>
        <w:rPr>
          <w:rFonts w:ascii="Verdana" w:hAnsi="Verdana" w:cs="Verdana"/>
          <w:b w:val="0"/>
          <w:bCs w:val="0"/>
          <w:sz w:val="20"/>
          <w:szCs w:val="20"/>
        </w:rPr>
        <w:t>)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, včetně všech poplatků a veškerých dalších nákladů s plněním </w:t>
      </w:r>
      <w:r>
        <w:rPr>
          <w:rFonts w:ascii="Verdana" w:hAnsi="Verdana" w:cs="Verdana"/>
          <w:b w:val="0"/>
          <w:bCs w:val="0"/>
          <w:sz w:val="20"/>
          <w:szCs w:val="20"/>
        </w:rPr>
        <w:t>smlouvy (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veřejné zakázky</w:t>
      </w:r>
      <w:r>
        <w:rPr>
          <w:rFonts w:ascii="Verdana" w:hAnsi="Verdana" w:cs="Verdana"/>
          <w:b w:val="0"/>
          <w:bCs w:val="0"/>
          <w:sz w:val="20"/>
          <w:szCs w:val="20"/>
        </w:rPr>
        <w:t>)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souvisejících, a to při zohlednění všech požadavků </w:t>
      </w:r>
      <w:r>
        <w:rPr>
          <w:rFonts w:ascii="Verdana" w:hAnsi="Verdana" w:cs="Verdana"/>
          <w:b w:val="0"/>
          <w:bCs w:val="0"/>
          <w:sz w:val="20"/>
          <w:szCs w:val="20"/>
        </w:rPr>
        <w:t>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dle zadávací dokumentace veřejné zakázky.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>Celková cena je cenou nejvýše přípustnou. Cenu je možno překročit pouze v souvislosti se z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výšením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DPH.</w:t>
      </w:r>
    </w:p>
    <w:p w:rsidR="00726B1B" w:rsidRPr="005C336D" w:rsidRDefault="00726B1B" w:rsidP="0038184A">
      <w:pPr>
        <w:spacing w:before="80" w:after="80"/>
        <w:rPr>
          <w:rFonts w:ascii="Verdana" w:hAnsi="Verdana" w:cs="Verdana"/>
          <w:sz w:val="22"/>
          <w:szCs w:val="22"/>
        </w:rPr>
      </w:pPr>
    </w:p>
    <w:p w:rsidR="00726B1B" w:rsidRPr="005C336D" w:rsidRDefault="00726B1B" w:rsidP="000A4324">
      <w:pPr>
        <w:pStyle w:val="Nadpis2"/>
        <w:keepNext w:val="0"/>
        <w:numPr>
          <w:ilvl w:val="0"/>
          <w:numId w:val="14"/>
        </w:numPr>
        <w:spacing w:before="80" w:after="80"/>
        <w:ind w:left="357" w:hanging="357"/>
        <w:jc w:val="center"/>
        <w:rPr>
          <w:rFonts w:ascii="Verdana" w:hAnsi="Verdana" w:cs="Verdana"/>
          <w:sz w:val="22"/>
          <w:szCs w:val="22"/>
        </w:rPr>
      </w:pPr>
    </w:p>
    <w:p w:rsidR="00726B1B" w:rsidRPr="000A4324" w:rsidRDefault="00726B1B" w:rsidP="000A4324">
      <w:pPr>
        <w:pStyle w:val="Nadpis2"/>
        <w:keepNext w:val="0"/>
        <w:spacing w:before="80" w:after="80"/>
        <w:jc w:val="center"/>
        <w:rPr>
          <w:rFonts w:ascii="Verdana" w:hAnsi="Verdana" w:cs="Verdana"/>
          <w:sz w:val="22"/>
          <w:szCs w:val="22"/>
        </w:rPr>
      </w:pPr>
      <w:r w:rsidRPr="000A4324">
        <w:rPr>
          <w:rFonts w:ascii="Verdana" w:hAnsi="Verdana" w:cs="Verdana"/>
          <w:sz w:val="22"/>
          <w:szCs w:val="22"/>
        </w:rPr>
        <w:t>Způsob platby a platební podmínky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Cena za dodávku </w:t>
      </w:r>
      <w:r>
        <w:rPr>
          <w:rFonts w:ascii="Verdana" w:hAnsi="Verdana" w:cs="Verdana"/>
          <w:b w:val="0"/>
          <w:bCs w:val="0"/>
          <w:sz w:val="20"/>
          <w:szCs w:val="20"/>
        </w:rPr>
        <w:t>analyzátoru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bude </w:t>
      </w:r>
      <w:r>
        <w:rPr>
          <w:rFonts w:ascii="Verdana" w:hAnsi="Verdana" w:cs="Verdana"/>
          <w:b w:val="0"/>
          <w:bCs w:val="0"/>
          <w:sz w:val="20"/>
          <w:szCs w:val="20"/>
        </w:rPr>
        <w:t>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>
        <w:rPr>
          <w:rFonts w:ascii="Verdana" w:hAnsi="Verdana" w:cs="Verdana"/>
          <w:b w:val="0"/>
          <w:bCs w:val="0"/>
          <w:sz w:val="20"/>
          <w:szCs w:val="20"/>
        </w:rPr>
        <w:t>m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uhrazena na základě daňového dokladu – faktury (dále jen „faktura“), kterou je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oprávněn vystavit po řádně poskytnutém plnění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(viz odst. 2.1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). </w:t>
      </w:r>
      <w:r>
        <w:rPr>
          <w:rFonts w:ascii="Verdana" w:hAnsi="Verdana" w:cs="Verdana"/>
          <w:b w:val="0"/>
          <w:bCs w:val="0"/>
          <w:sz w:val="20"/>
          <w:szCs w:val="20"/>
        </w:rPr>
        <w:t>Přílohou faktury bude předávací protokol (viz odst. 2.1), jinak 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nemá povinnost fakturu zaplatit.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Splatnost faktury bude 30 dnů ode dne jejího doručení </w:t>
      </w:r>
      <w:r>
        <w:rPr>
          <w:rFonts w:ascii="Verdana" w:hAnsi="Verdana" w:cs="Verdana"/>
          <w:b w:val="0"/>
          <w:bCs w:val="0"/>
          <w:sz w:val="20"/>
          <w:szCs w:val="20"/>
        </w:rPr>
        <w:t>kupujícímu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. Faktura musí obsahovat všechny náležitosti řádného účetního a daňového dokladu ve smyslu příslušných zákonných ustanovení. Faktura musí dále obsahovat identifikační údaje projektu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(název: Velká infrastruktura CESNET, identifikační kód: LM2010005). V případě, že faktura nebude mít odpovídající náležitosti, je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oprávněn zaslat ji ve lhůtě splatnosti zpět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>
        <w:rPr>
          <w:rFonts w:ascii="Verdana" w:hAnsi="Verdana" w:cs="Verdana"/>
          <w:b w:val="0"/>
          <w:bCs w:val="0"/>
          <w:sz w:val="20"/>
          <w:szCs w:val="20"/>
        </w:rPr>
        <w:t>mu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k doplnění či opravě, aniž se tak dostane do prodlení se splatností; lhůta splatnosti počíná běžet znovu od opětovného doručení náležitě doplněné či opravené faktury. 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>
        <w:rPr>
          <w:rFonts w:ascii="Verdana" w:hAnsi="Verdana" w:cs="Verdana"/>
          <w:b w:val="0"/>
          <w:bCs w:val="0"/>
          <w:sz w:val="20"/>
          <w:szCs w:val="20"/>
        </w:rPr>
        <w:t>neposkytuje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zálohy. </w:t>
      </w:r>
    </w:p>
    <w:p w:rsidR="00726B1B" w:rsidRDefault="00726B1B" w:rsidP="0038184A">
      <w:pPr>
        <w:tabs>
          <w:tab w:val="right" w:pos="1843"/>
        </w:tabs>
        <w:spacing w:before="80" w:after="80"/>
        <w:rPr>
          <w:rFonts w:ascii="Verdana" w:hAnsi="Verdana" w:cs="Verdana"/>
          <w:sz w:val="22"/>
          <w:szCs w:val="22"/>
        </w:rPr>
      </w:pPr>
    </w:p>
    <w:p w:rsidR="00602029" w:rsidRDefault="00602029" w:rsidP="0038184A">
      <w:pPr>
        <w:tabs>
          <w:tab w:val="right" w:pos="1843"/>
        </w:tabs>
        <w:spacing w:before="80" w:after="80"/>
        <w:rPr>
          <w:rFonts w:ascii="Verdana" w:hAnsi="Verdana" w:cs="Verdana"/>
          <w:sz w:val="22"/>
          <w:szCs w:val="22"/>
        </w:rPr>
      </w:pPr>
    </w:p>
    <w:p w:rsidR="00602029" w:rsidRPr="005C336D" w:rsidRDefault="00602029" w:rsidP="0038184A">
      <w:pPr>
        <w:tabs>
          <w:tab w:val="right" w:pos="1843"/>
        </w:tabs>
        <w:spacing w:before="80" w:after="80"/>
        <w:rPr>
          <w:rFonts w:ascii="Verdana" w:hAnsi="Verdana" w:cs="Verdana"/>
          <w:sz w:val="22"/>
          <w:szCs w:val="22"/>
        </w:rPr>
      </w:pPr>
    </w:p>
    <w:p w:rsidR="00726B1B" w:rsidRPr="005C336D" w:rsidRDefault="00726B1B" w:rsidP="000A4324">
      <w:pPr>
        <w:pStyle w:val="Nadpis2"/>
        <w:keepNext w:val="0"/>
        <w:numPr>
          <w:ilvl w:val="0"/>
          <w:numId w:val="14"/>
        </w:numPr>
        <w:spacing w:before="80" w:after="80"/>
        <w:ind w:left="357" w:hanging="357"/>
        <w:jc w:val="center"/>
        <w:rPr>
          <w:rFonts w:ascii="Verdana" w:hAnsi="Verdana" w:cs="Verdana"/>
          <w:sz w:val="22"/>
          <w:szCs w:val="22"/>
        </w:rPr>
      </w:pPr>
    </w:p>
    <w:p w:rsidR="00726B1B" w:rsidRPr="00C05A83" w:rsidRDefault="00726B1B" w:rsidP="00C05A83">
      <w:pPr>
        <w:pStyle w:val="Nadpis2"/>
        <w:keepNext w:val="0"/>
        <w:spacing w:before="80" w:after="80"/>
        <w:jc w:val="center"/>
        <w:rPr>
          <w:rFonts w:ascii="Verdana" w:hAnsi="Verdana" w:cs="Verdana"/>
          <w:sz w:val="22"/>
          <w:szCs w:val="22"/>
        </w:rPr>
      </w:pPr>
      <w:r w:rsidRPr="000A4324">
        <w:rPr>
          <w:rFonts w:ascii="Verdana" w:hAnsi="Verdana" w:cs="Verdana"/>
          <w:sz w:val="22"/>
          <w:szCs w:val="22"/>
        </w:rPr>
        <w:t>Náhrada škody, sankční ujednání a další smluvní podmínky plnění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má právo na smluvní pokutu ve výši 0,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1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% z celkové ceny plnění bez DPH za každý i jen započatý den prodlení s předáním v termínu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plnění dle odst. 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3.1, čímž není dotčeno právo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na náhradu škody, která může spočívat mj. i v tom, že nebude oprávněn čerpat dotaci určenou na tuto veřejnou zakázku (realizaci projektu)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a že bude muset provést nové zadávací řízení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Bude-li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v prodlení se zaplacením faktury vystavené na základě této smlouvy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m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k datu jejich splatnosti, 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má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právo na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úrok z prodlení ve výši 0,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1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% z nezaplacené částky za každý den prodlení platby.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má právo odstoupit od této smlouvy v případě prodlení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s předáním v termínu plnění dle odst. 3.1 po dobu delší 15 dnů. </w:t>
      </w:r>
      <w:r>
        <w:rPr>
          <w:rFonts w:ascii="Verdana" w:hAnsi="Verdana" w:cs="Verdana"/>
          <w:b w:val="0"/>
          <w:bCs w:val="0"/>
          <w:sz w:val="20"/>
          <w:szCs w:val="20"/>
        </w:rPr>
        <w:t>V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 takovém případě je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povinen uhradit kromě smluvní pokuty i veškerou škodu způsobenou v důsledku jeho prodlení.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P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rodávající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garantuje, že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bude v případě jakéhokoliv poskytnutého programového vybavení oprávněn k výkonu práva veškeré programové vybavení užít v rozsahu potřebném pro řádné užívání předmětu plnění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>
        <w:rPr>
          <w:rFonts w:ascii="Verdana" w:hAnsi="Verdana" w:cs="Verdana"/>
          <w:b w:val="0"/>
          <w:bCs w:val="0"/>
          <w:sz w:val="20"/>
          <w:szCs w:val="20"/>
        </w:rPr>
        <w:t>m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. Toto oprávnění (licence) musí být poskytnuto na dobu neurčitou a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není povinen ji využívat. Cena licence je zahrnuta v celkové ceně plnění. </w:t>
      </w:r>
      <w:r>
        <w:rPr>
          <w:rFonts w:ascii="Verdana" w:hAnsi="Verdana" w:cs="Verdana"/>
          <w:b w:val="0"/>
          <w:bCs w:val="0"/>
          <w:sz w:val="20"/>
          <w:szCs w:val="20"/>
        </w:rPr>
        <w:t>P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rodávající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odpovídá za to, že je oprávněn poskytnout licenci v požadovaném rozsahu dle tohoto odstavce a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ji bude moci využívat po neurčitou dobu. V opačném případě má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kromě nároku na náhradu škody právo na smluvní pokutu ve výši 100 000,- Kč za každé jednotlivé porušení této povinnosti. </w:t>
      </w:r>
      <w:r>
        <w:rPr>
          <w:rFonts w:ascii="Verdana" w:hAnsi="Verdana" w:cs="Verdana"/>
          <w:b w:val="0"/>
          <w:bCs w:val="0"/>
          <w:sz w:val="20"/>
          <w:szCs w:val="20"/>
        </w:rPr>
        <w:t>K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bude též v takovém případě oprávněn vyzvat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k zajištění licence v potřebném rozsahu, přičemž pokud taková povinnost nebude ze strany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splněna do 30 dnů ode dne obdržení výzvy, bude mít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právo odstoupit od této smlouvy. Právo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na náhradu škody a smluvní pokutu uvedenou v tomto odstavci však zůstane nedotčeno.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Omezení výše náhrady škody v jakémkoliv směru se nepřipouští. Žádným ujednáním o smluvní pokutě, ani jejím skutečným zaplacením, nebude dotčen nárok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na náhradu škody. Náhrada škody vzniklé jedné ze smluvních stran druhou smluvní stranou se řídí ustanoveními obchodního zákoníku.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P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rodávající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poskytuje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>
        <w:rPr>
          <w:rFonts w:ascii="Verdana" w:hAnsi="Verdana" w:cs="Verdana"/>
          <w:b w:val="0"/>
          <w:bCs w:val="0"/>
          <w:sz w:val="20"/>
          <w:szCs w:val="20"/>
        </w:rPr>
        <w:t>mu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záruku za jakost dodaného plnění (zařízení i prací) v délce </w:t>
      </w:r>
      <w:r w:rsidR="00DC3273">
        <w:rPr>
          <w:rFonts w:ascii="Verdana" w:hAnsi="Verdana" w:cs="Verdana"/>
          <w:b w:val="0"/>
          <w:bCs w:val="0"/>
          <w:sz w:val="20"/>
          <w:szCs w:val="20"/>
        </w:rPr>
        <w:t>12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měsíců. </w:t>
      </w:r>
      <w:r>
        <w:rPr>
          <w:rFonts w:ascii="Verdana" w:hAnsi="Verdana" w:cs="Verdana"/>
          <w:b w:val="0"/>
          <w:bCs w:val="0"/>
          <w:sz w:val="20"/>
          <w:szCs w:val="20"/>
        </w:rPr>
        <w:t>P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rodávající</w:t>
      </w:r>
      <w:r w:rsidRPr="00246AA1">
        <w:rPr>
          <w:rFonts w:ascii="Verdana" w:hAnsi="Verdana" w:cs="Verdana"/>
          <w:b w:val="0"/>
          <w:bCs w:val="0"/>
          <w:sz w:val="20"/>
          <w:szCs w:val="20"/>
        </w:rPr>
        <w:t xml:space="preserve"> se zavazuje v záruční době provést opravu vadných komponent nejpozději do </w:t>
      </w:r>
      <w:r>
        <w:rPr>
          <w:rFonts w:ascii="Verdana" w:hAnsi="Verdana" w:cs="Verdana"/>
          <w:b w:val="0"/>
          <w:bCs w:val="0"/>
          <w:sz w:val="20"/>
          <w:szCs w:val="20"/>
        </w:rPr>
        <w:t>30</w:t>
      </w:r>
      <w:r w:rsidRPr="00246AA1">
        <w:rPr>
          <w:rFonts w:ascii="Verdana" w:hAnsi="Verdana" w:cs="Verdana"/>
          <w:b w:val="0"/>
          <w:bCs w:val="0"/>
          <w:sz w:val="20"/>
          <w:szCs w:val="20"/>
        </w:rPr>
        <w:t xml:space="preserve"> kalendářních dnů, popřípadě ve stejné době bezplatně dodat náhradní </w:t>
      </w:r>
      <w:r>
        <w:rPr>
          <w:rFonts w:ascii="Verdana" w:hAnsi="Verdana" w:cs="Verdana"/>
          <w:b w:val="0"/>
          <w:bCs w:val="0"/>
          <w:sz w:val="20"/>
          <w:szCs w:val="20"/>
        </w:rPr>
        <w:t>analyzátor</w:t>
      </w:r>
      <w:r w:rsidRPr="00246AA1">
        <w:rPr>
          <w:rFonts w:ascii="Verdana" w:hAnsi="Verdana" w:cs="Verdana"/>
          <w:b w:val="0"/>
          <w:bCs w:val="0"/>
          <w:sz w:val="20"/>
          <w:szCs w:val="20"/>
        </w:rPr>
        <w:t>.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Záruční doba počíná plynout dnem podpisu před</w:t>
      </w:r>
      <w:r w:rsidR="00D31D6A">
        <w:rPr>
          <w:rFonts w:ascii="Verdana" w:hAnsi="Verdana" w:cs="Verdana"/>
          <w:b w:val="0"/>
          <w:bCs w:val="0"/>
          <w:sz w:val="20"/>
          <w:szCs w:val="20"/>
        </w:rPr>
        <w:t>ávacího protokolu (viz odst. 2.1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)</w:t>
      </w:r>
      <w:r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726B1B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bookmarkStart w:id="2" w:name="_Toc274063551"/>
      <w:r>
        <w:rPr>
          <w:rFonts w:ascii="Verdana" w:hAnsi="Verdana" w:cs="Verdana"/>
          <w:b w:val="0"/>
          <w:bCs w:val="0"/>
          <w:sz w:val="20"/>
          <w:szCs w:val="20"/>
        </w:rPr>
        <w:t>P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rodávající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nese odpovědnost za to, že </w:t>
      </w:r>
      <w:r>
        <w:rPr>
          <w:rFonts w:ascii="Verdana" w:hAnsi="Verdana" w:cs="Verdana"/>
          <w:b w:val="0"/>
          <w:bCs w:val="0"/>
          <w:sz w:val="20"/>
          <w:szCs w:val="20"/>
        </w:rPr>
        <w:t>analyzátor bude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k</w:t>
      </w:r>
      <w:r>
        <w:rPr>
          <w:rFonts w:ascii="Verdana" w:hAnsi="Verdana" w:cs="Verdana"/>
          <w:b w:val="0"/>
          <w:bCs w:val="0"/>
          <w:sz w:val="20"/>
          <w:szCs w:val="20"/>
        </w:rPr>
        <w:t>e dni dodání plně funkční a bude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splňovat požadavky, uvedené v zadávací dokumentaci na plnění veřejné zakázky, resp. v nabídce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na plnění veřejné zakázky (této smlouvy).</w:t>
      </w:r>
      <w:bookmarkEnd w:id="2"/>
    </w:p>
    <w:p w:rsidR="00726B1B" w:rsidRPr="00B26F1C" w:rsidRDefault="00726B1B" w:rsidP="00B26F1C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P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rodávající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se zavazuje</w:t>
      </w:r>
      <w:r w:rsidRPr="00B26F1C">
        <w:rPr>
          <w:rFonts w:ascii="Verdana" w:hAnsi="Verdana" w:cs="Verdana"/>
          <w:b w:val="0"/>
          <w:bCs w:val="0"/>
          <w:sz w:val="20"/>
          <w:szCs w:val="20"/>
        </w:rPr>
        <w:t xml:space="preserve">, že do 60 dnů od splnění 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této </w:t>
      </w:r>
      <w:r w:rsidRPr="00B26F1C">
        <w:rPr>
          <w:rFonts w:ascii="Verdana" w:hAnsi="Verdana" w:cs="Verdana"/>
          <w:b w:val="0"/>
          <w:bCs w:val="0"/>
          <w:sz w:val="20"/>
          <w:szCs w:val="20"/>
        </w:rPr>
        <w:t xml:space="preserve">smlouvy předloží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mu </w:t>
      </w:r>
      <w:r w:rsidRPr="00B26F1C">
        <w:rPr>
          <w:rFonts w:ascii="Verdana" w:hAnsi="Verdana" w:cs="Verdana"/>
          <w:b w:val="0"/>
          <w:bCs w:val="0"/>
          <w:sz w:val="20"/>
          <w:szCs w:val="20"/>
        </w:rPr>
        <w:t xml:space="preserve">písemný seznam svých subdodavatelů podílejících se na plnění 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této </w:t>
      </w:r>
      <w:r w:rsidRPr="00B26F1C">
        <w:rPr>
          <w:rFonts w:ascii="Verdana" w:hAnsi="Verdana" w:cs="Verdana"/>
          <w:b w:val="0"/>
          <w:bCs w:val="0"/>
          <w:sz w:val="20"/>
          <w:szCs w:val="20"/>
        </w:rPr>
        <w:t>smlouvy, ve kterém uvede subdodavatele, jimž za plnění subdodávky uhradil více než 10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% z </w:t>
      </w:r>
      <w:r w:rsidRPr="00B26F1C">
        <w:rPr>
          <w:rFonts w:ascii="Verdana" w:hAnsi="Verdana" w:cs="Verdana"/>
          <w:b w:val="0"/>
          <w:bCs w:val="0"/>
          <w:sz w:val="20"/>
          <w:szCs w:val="20"/>
        </w:rPr>
        <w:t>celkové ceny plnění. Bude-li mít subdodavatel formu akciové společnosti, bude přílohou seznamu i seznam vlastníků akcií, jejichž souhrnná jmenovitá hodnota přesahuje 10 % základního kapitálu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subdodavatele</w:t>
      </w:r>
      <w:r w:rsidRPr="00B26F1C">
        <w:rPr>
          <w:rFonts w:ascii="Verdana" w:hAnsi="Verdana" w:cs="Verdana"/>
          <w:b w:val="0"/>
          <w:bCs w:val="0"/>
          <w:sz w:val="20"/>
          <w:szCs w:val="20"/>
        </w:rPr>
        <w:t>, vyhotovený ve lhůtě 90 dnů před dnem předložení seznamu subdodavatelů</w:t>
      </w:r>
      <w:r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bookmarkStart w:id="3" w:name="_Toc274063555"/>
      <w:r w:rsidRPr="000A4324">
        <w:rPr>
          <w:rFonts w:ascii="Verdana" w:hAnsi="Verdana" w:cs="Verdana"/>
          <w:b w:val="0"/>
          <w:bCs w:val="0"/>
          <w:sz w:val="20"/>
          <w:szCs w:val="20"/>
        </w:rPr>
        <w:t>V případě, že v průběhu realizace plnění vyjde najevo, že vlastnosti (z</w:t>
      </w:r>
      <w:r>
        <w:rPr>
          <w:rFonts w:ascii="Verdana" w:hAnsi="Verdana" w:cs="Verdana"/>
          <w:b w:val="0"/>
          <w:bCs w:val="0"/>
          <w:sz w:val="20"/>
          <w:szCs w:val="20"/>
        </w:rPr>
        <w:t>ejm. technické parametry) dodáv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k</w:t>
      </w:r>
      <w:r>
        <w:rPr>
          <w:rFonts w:ascii="Verdana" w:hAnsi="Verdana" w:cs="Verdana"/>
          <w:b w:val="0"/>
          <w:bCs w:val="0"/>
          <w:sz w:val="20"/>
          <w:szCs w:val="20"/>
        </w:rPr>
        <w:t>y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a/nebo prací jsou prokazatelně v rozporu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lastRenderedPageBreak/>
        <w:t xml:space="preserve">s informacemi, které vybraný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uvedl v jeho nabídce na plnění veřejné zakázky (této smlouvy), bude mít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právo na smluvní pokutu ve v</w:t>
      </w:r>
      <w:r>
        <w:rPr>
          <w:rFonts w:ascii="Verdana" w:hAnsi="Verdana" w:cs="Verdana"/>
          <w:b w:val="0"/>
          <w:bCs w:val="0"/>
          <w:sz w:val="20"/>
          <w:szCs w:val="20"/>
        </w:rPr>
        <w:t>ýši 100 000,- Kč. Současně bude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mít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právo odstoupit od 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této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smlouvy; takové odstoupení od smlouvy však nebude mít vliv na právo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na zaplacení smluvní pokuty, popř. na náhradu škody.</w:t>
      </w:r>
      <w:bookmarkEnd w:id="3"/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>Smluvní strany smlouvy uzavřené na základě tohoto zadávacího řízení budou vzájemně spolupracovat a poskytovat si veškeré informace potřebné pro řádné plnění svých závazků. Smluvní strany budou povinny informovat druhou smluvní stranu o veškerých skutečnostech, které budou, jsou nebo mohou být důležité pro řádné plnění smlouvy.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>Smluvní strany této smlouvy se zavazují plnit své závazky vyplývající z této smlouvy tak, aby nedocházelo k prodlení s plněním jednotlivých termínů a s prodlením splatnosti jednotlivých peněžních závazků.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>Všechna oznámení, která se budou vztahovat k této smlouvě, nebo která mají být učiněna na základě této smlouvy, musí být smluvními stranami učiněna v písemné podobě a druhé straně doručena buď osobně, doporučeným dopisem, faxem, kurýrem nebo e-mailem na adresu uvedenou ve smlouvě, nebude-li stanoveno nebo mezi smluvními stranami dohodnuto jinak.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>Smluvní strany se budou navzájem informovat o každé organizační změně (např. změna tel. čísel, změna adresy, bankovního spojení atd.) do sedmi (7) dnů.</w:t>
      </w:r>
    </w:p>
    <w:p w:rsidR="00726B1B" w:rsidRPr="005C336D" w:rsidRDefault="00726B1B" w:rsidP="0038184A">
      <w:pPr>
        <w:tabs>
          <w:tab w:val="right" w:pos="1843"/>
        </w:tabs>
        <w:spacing w:before="80" w:after="80"/>
        <w:jc w:val="center"/>
        <w:rPr>
          <w:rFonts w:ascii="Verdana" w:hAnsi="Verdana" w:cs="Verdana"/>
          <w:sz w:val="22"/>
          <w:szCs w:val="22"/>
        </w:rPr>
      </w:pPr>
    </w:p>
    <w:p w:rsidR="00726B1B" w:rsidRPr="006D4338" w:rsidRDefault="00726B1B" w:rsidP="000A4324">
      <w:pPr>
        <w:pStyle w:val="Nadpis2"/>
        <w:keepNext w:val="0"/>
        <w:numPr>
          <w:ilvl w:val="0"/>
          <w:numId w:val="14"/>
        </w:numPr>
        <w:spacing w:before="80" w:after="80"/>
        <w:ind w:left="357" w:hanging="357"/>
        <w:jc w:val="center"/>
        <w:rPr>
          <w:rFonts w:ascii="Verdana" w:hAnsi="Verdana" w:cs="Verdana"/>
          <w:sz w:val="22"/>
          <w:szCs w:val="22"/>
        </w:rPr>
      </w:pPr>
    </w:p>
    <w:p w:rsidR="00726B1B" w:rsidRPr="000A4324" w:rsidRDefault="00726B1B" w:rsidP="000A4324">
      <w:pPr>
        <w:pStyle w:val="Nadpis2"/>
        <w:keepNext w:val="0"/>
        <w:spacing w:before="80" w:after="80"/>
        <w:jc w:val="center"/>
        <w:rPr>
          <w:rFonts w:ascii="Verdana" w:hAnsi="Verdana" w:cs="Verdana"/>
          <w:sz w:val="22"/>
          <w:szCs w:val="22"/>
        </w:rPr>
      </w:pPr>
      <w:r w:rsidRPr="000A4324">
        <w:rPr>
          <w:rFonts w:ascii="Verdana" w:hAnsi="Verdana" w:cs="Verdana"/>
          <w:sz w:val="22"/>
          <w:szCs w:val="22"/>
        </w:rPr>
        <w:t>Závěrečná ustanovení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>Smluvní strany se dohodly, že předmětný závazkový vztah se řídí obchodním zákoníkem.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>Smlouva nabývá platnosti a účinnosti dnem podpisu poslední ze smluvních stran.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>Změny této smlouvy musí být provedeny písemně formou dodatku a musí být odsouhlaseny oběma smluvními stranami.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Tato smlouva byla sepsána ve 2 vyhotoveních s platností originálu, z nichž jedno obdrží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a jedno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>Smluvní strany prohlašují, že smlouva byla sepsána podle jejich skutečné a svobodné vůle, smlouvu si přečetly, s jejím obsahem souhlasí a na důkaz toho připojují podpisy svých odpovědných zástupců.</w:t>
      </w:r>
    </w:p>
    <w:p w:rsidR="00726B1B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P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rodávající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uzavřením této smlouvy 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bere na vědomí a souhlasí</w:t>
      </w:r>
      <w:r>
        <w:rPr>
          <w:rFonts w:ascii="Verdana" w:hAnsi="Verdana" w:cs="Verdana"/>
          <w:b w:val="0"/>
          <w:bCs w:val="0"/>
          <w:sz w:val="20"/>
          <w:szCs w:val="20"/>
        </w:rPr>
        <w:t>:</w:t>
      </w:r>
    </w:p>
    <w:p w:rsidR="00726B1B" w:rsidRDefault="00726B1B" w:rsidP="00667C35">
      <w:pPr>
        <w:pStyle w:val="Nadpis2"/>
        <w:keepNext w:val="0"/>
        <w:numPr>
          <w:ilvl w:val="2"/>
          <w:numId w:val="14"/>
        </w:numPr>
        <w:spacing w:before="80" w:after="80"/>
        <w:rPr>
          <w:rFonts w:ascii="Verdana" w:hAnsi="Verdana" w:cs="Verdana"/>
          <w:b w:val="0"/>
          <w:bCs w:val="0"/>
          <w:sz w:val="20"/>
          <w:szCs w:val="20"/>
        </w:rPr>
      </w:pPr>
      <w:r w:rsidRPr="00667C35">
        <w:rPr>
          <w:rFonts w:ascii="Verdana" w:hAnsi="Verdana" w:cs="Verdana"/>
          <w:b w:val="0"/>
          <w:bCs w:val="0"/>
          <w:sz w:val="20"/>
          <w:szCs w:val="20"/>
        </w:rPr>
        <w:t xml:space="preserve">že se stává v souladu s § 2 písm. e) zákona č. 320/2001 Sb., o finanční kontrole ve veřejné správě, ve  znění pozdějších předpisů, osobou povinnou spolupůsobit při výkonu finanční kontroly; v rámci této kontroly je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prodávající</w:t>
      </w:r>
      <w:r w:rsidRPr="00667C35">
        <w:rPr>
          <w:rFonts w:ascii="Verdana" w:hAnsi="Verdana" w:cs="Verdana"/>
          <w:b w:val="0"/>
          <w:bCs w:val="0"/>
          <w:sz w:val="20"/>
          <w:szCs w:val="20"/>
        </w:rPr>
        <w:t xml:space="preserve"> povinen umožnit zástupcům poskytovatele dotace (MŠMT ČR), případně dalším oprávněným osobám, kontrolu v souladu s podmínkami stanovenými uvedeným zákonem;</w:t>
      </w:r>
    </w:p>
    <w:p w:rsidR="00726B1B" w:rsidRDefault="00726B1B" w:rsidP="00667C35">
      <w:pPr>
        <w:pStyle w:val="Nadpis2"/>
        <w:keepNext w:val="0"/>
        <w:numPr>
          <w:ilvl w:val="2"/>
          <w:numId w:val="14"/>
        </w:numPr>
        <w:spacing w:before="80" w:after="80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>že je povinen umožnit zástupcům poskytovatele a případně dalším oprávněným osobám přístup i k těm částem nabídky, smlouvy a souvisejících dokumentů, které podléhají ochraně podle zvláštních právních předpisů (např. jako obchodní tajemství, utajované skutečnosti) za předpokladu, že budou splněny požadavky kladené právními předpisy (např. § 11 písm. c) a d), § 12 odst. 2 písm. f) zákona č. 552/1991 Sb., o st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átní kontrole, </w:t>
      </w:r>
      <w:r w:rsidRPr="00667C35">
        <w:rPr>
          <w:rFonts w:ascii="Verdana" w:hAnsi="Verdana" w:cs="Verdana"/>
          <w:b w:val="0"/>
          <w:bCs w:val="0"/>
          <w:sz w:val="20"/>
          <w:szCs w:val="20"/>
        </w:rPr>
        <w:t>ve  znění pozdějších předpisů</w:t>
      </w:r>
      <w:r>
        <w:rPr>
          <w:rFonts w:ascii="Verdana" w:hAnsi="Verdana" w:cs="Verdana"/>
          <w:b w:val="0"/>
          <w:bCs w:val="0"/>
          <w:sz w:val="20"/>
          <w:szCs w:val="20"/>
        </w:rPr>
        <w:t>);</w:t>
      </w:r>
    </w:p>
    <w:p w:rsidR="00726B1B" w:rsidRDefault="00726B1B" w:rsidP="00667C35">
      <w:pPr>
        <w:pStyle w:val="Nadpis2"/>
        <w:keepNext w:val="0"/>
        <w:numPr>
          <w:ilvl w:val="2"/>
          <w:numId w:val="14"/>
        </w:numPr>
        <w:spacing w:before="80" w:after="80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že je </w:t>
      </w:r>
      <w:r w:rsidRPr="00667C35">
        <w:rPr>
          <w:rFonts w:ascii="Verdana" w:hAnsi="Verdana" w:cs="Verdana"/>
          <w:b w:val="0"/>
          <w:bCs w:val="0"/>
          <w:sz w:val="20"/>
          <w:szCs w:val="20"/>
        </w:rPr>
        <w:t>povinen smluvně zajistit, aby zástupci poskytovatele dotace, případně dalších kontrolních orgánů, byli oprávněni obdobným způsobem kontrolovat i jeho případné subdodavatele;</w:t>
      </w:r>
    </w:p>
    <w:p w:rsidR="00726B1B" w:rsidRPr="00667C35" w:rsidRDefault="00726B1B" w:rsidP="00667C35">
      <w:pPr>
        <w:pStyle w:val="Nadpis2"/>
        <w:keepNext w:val="0"/>
        <w:numPr>
          <w:ilvl w:val="2"/>
          <w:numId w:val="14"/>
        </w:numPr>
        <w:spacing w:before="80" w:after="80"/>
        <w:rPr>
          <w:rFonts w:ascii="Verdana" w:hAnsi="Verdana" w:cs="Verdana"/>
          <w:b w:val="0"/>
          <w:bCs w:val="0"/>
          <w:sz w:val="20"/>
          <w:szCs w:val="20"/>
        </w:rPr>
      </w:pPr>
      <w:r w:rsidRPr="00667C35">
        <w:rPr>
          <w:rFonts w:ascii="Verdana" w:hAnsi="Verdana" w:cs="Verdana"/>
          <w:b w:val="0"/>
          <w:bCs w:val="0"/>
          <w:sz w:val="20"/>
          <w:szCs w:val="20"/>
        </w:rPr>
        <w:lastRenderedPageBreak/>
        <w:t>že tato zakázka je zadávána v rámci realizace projektu Velká infrastruktura CESNET, který je spolufinancován ze státního rozpočtu České republiky (poskytovatelem dotace je Česká republika – Ministerstvo školství, mládeže a tělovýchovy)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; </w:t>
      </w:r>
      <w:r w:rsidRPr="00667C35">
        <w:rPr>
          <w:rFonts w:ascii="Verdana" w:hAnsi="Verdana" w:cs="Verdana"/>
          <w:b w:val="0"/>
          <w:bCs w:val="0"/>
          <w:sz w:val="20"/>
          <w:szCs w:val="20"/>
        </w:rPr>
        <w:t> tohoto důvodu se na zadávací řízení, na plnění zakázky a na následnou kontrolu vztahují mimo zákon č. 137/2006 Sb., o veřejných zakázkách, i další právní předpisy (např. zák. č. 320/2001 Sb., o finanční kontrole ve veřejné správě a zák. č. 130/2002 Sb. o podpoře výzkumu, experimentálního vývoje a inovací z veřejných prostředků a o změně některých souvisejících zákonů; vše ve znění pozdějš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ích předpisů) a Rozhodnutí MŠMT </w:t>
      </w:r>
      <w:r w:rsidRPr="00667C35">
        <w:rPr>
          <w:rFonts w:ascii="Verdana" w:hAnsi="Verdana" w:cs="Verdana"/>
          <w:b w:val="0"/>
          <w:bCs w:val="0"/>
          <w:sz w:val="20"/>
          <w:szCs w:val="20"/>
        </w:rPr>
        <w:t>č.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Pr="00667C35">
        <w:rPr>
          <w:rFonts w:ascii="Verdana" w:hAnsi="Verdana" w:cs="Verdana"/>
          <w:b w:val="0"/>
          <w:bCs w:val="0"/>
          <w:sz w:val="20"/>
          <w:szCs w:val="20"/>
        </w:rPr>
        <w:t>j. 1358/2011-321 z 11. 2. 2011.</w:t>
      </w:r>
    </w:p>
    <w:p w:rsidR="00726B1B" w:rsidRPr="000A4324" w:rsidRDefault="00726B1B" w:rsidP="000A4324">
      <w:pPr>
        <w:pStyle w:val="Nadpis2"/>
        <w:keepNext w:val="0"/>
        <w:numPr>
          <w:ilvl w:val="1"/>
          <w:numId w:val="14"/>
        </w:numPr>
        <w:spacing w:before="80" w:after="80"/>
        <w:ind w:left="567" w:hanging="567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P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rodávají</w:t>
      </w:r>
      <w:r>
        <w:rPr>
          <w:rFonts w:ascii="Verdana" w:hAnsi="Verdana" w:cs="Verdana"/>
          <w:b w:val="0"/>
          <w:bCs w:val="0"/>
          <w:sz w:val="20"/>
          <w:szCs w:val="20"/>
        </w:rPr>
        <w:t>cí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se dále zavazuje:</w:t>
      </w:r>
    </w:p>
    <w:p w:rsidR="00726B1B" w:rsidRPr="000A4324" w:rsidRDefault="00726B1B" w:rsidP="000A4324">
      <w:pPr>
        <w:pStyle w:val="Nadpis2"/>
        <w:keepNext w:val="0"/>
        <w:numPr>
          <w:ilvl w:val="2"/>
          <w:numId w:val="14"/>
        </w:numPr>
        <w:spacing w:before="80" w:after="80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>zachovat mlčenlivost o všech skutečnostech, které se dozví při plnění této smlouvy nebo v souvislosti s ním;</w:t>
      </w:r>
    </w:p>
    <w:p w:rsidR="00726B1B" w:rsidRDefault="00726B1B" w:rsidP="000A4324">
      <w:pPr>
        <w:pStyle w:val="Nadpis2"/>
        <w:keepNext w:val="0"/>
        <w:numPr>
          <w:ilvl w:val="2"/>
          <w:numId w:val="14"/>
        </w:numPr>
        <w:spacing w:before="80" w:after="80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nepostoupit svoje pohledávky za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>
        <w:rPr>
          <w:rFonts w:ascii="Verdana" w:hAnsi="Verdana" w:cs="Verdana"/>
          <w:b w:val="0"/>
          <w:bCs w:val="0"/>
          <w:sz w:val="20"/>
          <w:szCs w:val="20"/>
        </w:rPr>
        <w:t>m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 jakékoliv třetí osobě, bez písemného souhlasu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;</w:t>
      </w:r>
    </w:p>
    <w:p w:rsidR="00726B1B" w:rsidRPr="00667C35" w:rsidRDefault="00726B1B" w:rsidP="00667C35">
      <w:pPr>
        <w:pStyle w:val="Nadpis2"/>
        <w:keepNext w:val="0"/>
        <w:numPr>
          <w:ilvl w:val="2"/>
          <w:numId w:val="14"/>
        </w:numPr>
        <w:spacing w:before="80" w:after="80"/>
        <w:rPr>
          <w:rFonts w:ascii="Verdana" w:hAnsi="Verdana" w:cs="Verdana"/>
          <w:b w:val="0"/>
          <w:bCs w:val="0"/>
          <w:sz w:val="20"/>
          <w:szCs w:val="20"/>
        </w:rPr>
      </w:pPr>
      <w:r w:rsidRPr="00667C35">
        <w:rPr>
          <w:rFonts w:ascii="Verdana" w:hAnsi="Verdana" w:cs="Verdana"/>
          <w:b w:val="0"/>
          <w:bCs w:val="0"/>
          <w:sz w:val="20"/>
          <w:szCs w:val="20"/>
        </w:rPr>
        <w:t xml:space="preserve">nahradit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>
        <w:rPr>
          <w:rFonts w:ascii="Verdana" w:hAnsi="Verdana" w:cs="Verdana"/>
          <w:b w:val="0"/>
          <w:bCs w:val="0"/>
          <w:sz w:val="20"/>
          <w:szCs w:val="20"/>
        </w:rPr>
        <w:t>mu</w:t>
      </w:r>
      <w:r w:rsidRPr="00667C35">
        <w:rPr>
          <w:rFonts w:ascii="Verdana" w:hAnsi="Verdana" w:cs="Verdana"/>
          <w:b w:val="0"/>
          <w:bCs w:val="0"/>
          <w:sz w:val="20"/>
          <w:szCs w:val="20"/>
        </w:rPr>
        <w:t xml:space="preserve"> škodu způsobenou případným subdodavatelem</w:t>
      </w:r>
    </w:p>
    <w:p w:rsidR="00726B1B" w:rsidRPr="000A4324" w:rsidRDefault="00726B1B" w:rsidP="000A4324">
      <w:pPr>
        <w:pStyle w:val="Nadpis2"/>
        <w:keepNext w:val="0"/>
        <w:numPr>
          <w:ilvl w:val="2"/>
          <w:numId w:val="14"/>
        </w:numPr>
        <w:spacing w:before="80" w:after="80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zajistit maximální flexibilitu při plnění předmětu této smlouvy, zejména při řešení odůvodněných potřeb </w:t>
      </w:r>
      <w:r w:rsidRPr="00964B29">
        <w:rPr>
          <w:rFonts w:ascii="Verdana" w:hAnsi="Verdana" w:cs="Verdana"/>
          <w:b w:val="0"/>
          <w:bCs w:val="0"/>
          <w:sz w:val="20"/>
          <w:szCs w:val="20"/>
        </w:rPr>
        <w:t>kupující</w:t>
      </w:r>
      <w:r>
        <w:rPr>
          <w:rFonts w:ascii="Verdana" w:hAnsi="Verdana" w:cs="Verdana"/>
          <w:b w:val="0"/>
          <w:bCs w:val="0"/>
          <w:sz w:val="20"/>
          <w:szCs w:val="20"/>
        </w:rPr>
        <w:t>ho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, které vyplynou v průběhu plnění smlouvy;</w:t>
      </w:r>
    </w:p>
    <w:p w:rsidR="00726B1B" w:rsidRPr="000A4324" w:rsidRDefault="00726B1B" w:rsidP="000A4324">
      <w:pPr>
        <w:pStyle w:val="Nadpis2"/>
        <w:keepNext w:val="0"/>
        <w:numPr>
          <w:ilvl w:val="2"/>
          <w:numId w:val="14"/>
        </w:numPr>
        <w:spacing w:before="80" w:after="80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>zajistit archivaci dokumentů o plnění této smlouvy po dobu nejméně 10 let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od nabytí její účinnosti</w:t>
      </w:r>
      <w:r w:rsidRPr="000A4324">
        <w:rPr>
          <w:rFonts w:ascii="Verdana" w:hAnsi="Verdana" w:cs="Verdana"/>
          <w:b w:val="0"/>
          <w:bCs w:val="0"/>
          <w:sz w:val="20"/>
          <w:szCs w:val="20"/>
        </w:rPr>
        <w:t>;</w:t>
      </w:r>
    </w:p>
    <w:p w:rsidR="00726B1B" w:rsidRPr="000A4324" w:rsidRDefault="00726B1B" w:rsidP="000A4324">
      <w:pPr>
        <w:pStyle w:val="Nadpis2"/>
        <w:keepNext w:val="0"/>
        <w:numPr>
          <w:ilvl w:val="2"/>
          <w:numId w:val="14"/>
        </w:numPr>
        <w:spacing w:before="80" w:after="80"/>
        <w:rPr>
          <w:rFonts w:ascii="Verdana" w:hAnsi="Verdana" w:cs="Verdana"/>
          <w:b w:val="0"/>
          <w:bCs w:val="0"/>
          <w:sz w:val="20"/>
          <w:szCs w:val="20"/>
        </w:rPr>
      </w:pPr>
      <w:r w:rsidRPr="000A4324">
        <w:rPr>
          <w:rFonts w:ascii="Verdana" w:hAnsi="Verdana" w:cs="Verdana"/>
          <w:b w:val="0"/>
          <w:bCs w:val="0"/>
          <w:sz w:val="20"/>
          <w:szCs w:val="20"/>
        </w:rPr>
        <w:t xml:space="preserve">zajistit ochranu osobních údajů v souladu s právními předpisy. </w:t>
      </w:r>
    </w:p>
    <w:p w:rsidR="00726B1B" w:rsidRDefault="00726B1B" w:rsidP="0038184A">
      <w:pPr>
        <w:rPr>
          <w:rFonts w:ascii="Verdana" w:hAnsi="Verdana" w:cs="Verdana"/>
        </w:rPr>
      </w:pPr>
    </w:p>
    <w:p w:rsidR="00726B1B" w:rsidRPr="005C336D" w:rsidRDefault="00726B1B" w:rsidP="0038184A">
      <w:pPr>
        <w:rPr>
          <w:rFonts w:ascii="Verdana" w:hAnsi="Verdana" w:cs="Verdana"/>
        </w:rPr>
      </w:pPr>
    </w:p>
    <w:p w:rsidR="00726B1B" w:rsidRPr="005C336D" w:rsidRDefault="00726B1B" w:rsidP="0038184A">
      <w:pPr>
        <w:tabs>
          <w:tab w:val="left" w:pos="4680"/>
        </w:tabs>
        <w:spacing w:before="80" w:after="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</w:t>
      </w:r>
      <w:r w:rsidRPr="00964B29">
        <w:rPr>
          <w:rFonts w:ascii="Verdana" w:hAnsi="Verdana" w:cs="Verdana"/>
          <w:sz w:val="20"/>
          <w:szCs w:val="20"/>
        </w:rPr>
        <w:t>kupujícího</w:t>
      </w:r>
      <w:r w:rsidRPr="005C336D">
        <w:rPr>
          <w:rFonts w:ascii="Verdana" w:hAnsi="Verdana" w:cs="Verdana"/>
          <w:sz w:val="20"/>
          <w:szCs w:val="20"/>
        </w:rPr>
        <w:t>:</w:t>
      </w:r>
      <w:r w:rsidRPr="005C336D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Za </w:t>
      </w:r>
      <w:r w:rsidRPr="00964B29">
        <w:rPr>
          <w:rFonts w:ascii="Verdana" w:hAnsi="Verdana" w:cs="Verdana"/>
          <w:sz w:val="20"/>
          <w:szCs w:val="20"/>
        </w:rPr>
        <w:t>prodávajícího</w:t>
      </w:r>
      <w:r w:rsidRPr="005C336D">
        <w:rPr>
          <w:rFonts w:ascii="Verdana" w:hAnsi="Verdana" w:cs="Verdana"/>
          <w:sz w:val="20"/>
          <w:szCs w:val="20"/>
        </w:rPr>
        <w:t>:</w:t>
      </w:r>
    </w:p>
    <w:p w:rsidR="00726B1B" w:rsidRPr="005C336D" w:rsidRDefault="00726B1B" w:rsidP="0038184A">
      <w:pPr>
        <w:tabs>
          <w:tab w:val="right" w:pos="1843"/>
          <w:tab w:val="left" w:pos="4680"/>
          <w:tab w:val="left" w:pos="4860"/>
        </w:tabs>
        <w:spacing w:before="80" w:after="80"/>
        <w:rPr>
          <w:rFonts w:ascii="Verdana" w:hAnsi="Verdana" w:cs="Verdana"/>
          <w:sz w:val="20"/>
          <w:szCs w:val="20"/>
        </w:rPr>
      </w:pPr>
    </w:p>
    <w:p w:rsidR="00726B1B" w:rsidRPr="005C336D" w:rsidRDefault="00726B1B" w:rsidP="0038184A">
      <w:pPr>
        <w:tabs>
          <w:tab w:val="right" w:pos="1843"/>
          <w:tab w:val="left" w:pos="4680"/>
        </w:tabs>
        <w:spacing w:before="80" w:after="80"/>
        <w:rPr>
          <w:rFonts w:ascii="Verdana" w:hAnsi="Verdana" w:cs="Verdana"/>
          <w:sz w:val="20"/>
          <w:szCs w:val="20"/>
        </w:rPr>
      </w:pPr>
      <w:r w:rsidRPr="005C336D">
        <w:rPr>
          <w:rFonts w:ascii="Verdana" w:hAnsi="Verdana" w:cs="Verdana"/>
          <w:sz w:val="20"/>
          <w:szCs w:val="20"/>
        </w:rPr>
        <w:t>V </w:t>
      </w:r>
      <w:r>
        <w:rPr>
          <w:rFonts w:ascii="Verdana" w:hAnsi="Verdana" w:cs="Verdana"/>
          <w:sz w:val="20"/>
          <w:szCs w:val="20"/>
        </w:rPr>
        <w:t>Praze</w:t>
      </w:r>
      <w:r w:rsidRPr="005C336D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5C336D">
        <w:rPr>
          <w:rFonts w:ascii="Verdana" w:hAnsi="Verdana" w:cs="Verdana"/>
          <w:sz w:val="20"/>
          <w:szCs w:val="20"/>
        </w:rPr>
        <w:t>dne .................</w:t>
      </w:r>
      <w:r w:rsidRPr="005C336D">
        <w:rPr>
          <w:rFonts w:ascii="Verdana" w:hAnsi="Verdana" w:cs="Verdana"/>
          <w:sz w:val="20"/>
          <w:szCs w:val="20"/>
        </w:rPr>
        <w:tab/>
        <w:t>V </w:t>
      </w:r>
      <w:r>
        <w:rPr>
          <w:rFonts w:ascii="Verdana" w:hAnsi="Verdana" w:cs="Verdana"/>
          <w:sz w:val="20"/>
          <w:szCs w:val="20"/>
        </w:rPr>
        <w:t>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………………………….</w:t>
      </w:r>
      <w:r w:rsidRPr="005C336D">
        <w:rPr>
          <w:rFonts w:ascii="Verdana" w:hAnsi="Verdana" w:cs="Verdana"/>
          <w:sz w:val="20"/>
          <w:szCs w:val="20"/>
        </w:rPr>
        <w:t xml:space="preserve"> dne </w:t>
      </w:r>
      <w:r w:rsidRPr="00C05A83">
        <w:rPr>
          <w:rFonts w:ascii="Verdana" w:hAnsi="Verdana" w:cs="Verdana"/>
          <w:sz w:val="20"/>
          <w:szCs w:val="20"/>
        </w:rPr>
        <w:t>.................</w:t>
      </w:r>
    </w:p>
    <w:p w:rsidR="00726B1B" w:rsidRDefault="00726B1B" w:rsidP="0038184A">
      <w:pPr>
        <w:tabs>
          <w:tab w:val="right" w:pos="1843"/>
          <w:tab w:val="left" w:pos="4680"/>
          <w:tab w:val="left" w:pos="4860"/>
        </w:tabs>
        <w:spacing w:before="80" w:after="80"/>
        <w:rPr>
          <w:rFonts w:ascii="Verdana" w:hAnsi="Verdana" w:cs="Verdana"/>
          <w:sz w:val="20"/>
          <w:szCs w:val="20"/>
        </w:rPr>
      </w:pPr>
    </w:p>
    <w:p w:rsidR="00726B1B" w:rsidRPr="005C336D" w:rsidRDefault="00726B1B" w:rsidP="0038184A">
      <w:pPr>
        <w:tabs>
          <w:tab w:val="right" w:pos="1843"/>
          <w:tab w:val="left" w:pos="4680"/>
          <w:tab w:val="left" w:pos="4860"/>
        </w:tabs>
        <w:spacing w:before="80" w:after="80"/>
        <w:rPr>
          <w:rFonts w:ascii="Verdana" w:hAnsi="Verdana" w:cs="Verdana"/>
          <w:sz w:val="20"/>
          <w:szCs w:val="20"/>
        </w:rPr>
      </w:pPr>
    </w:p>
    <w:p w:rsidR="00726B1B" w:rsidRPr="005C336D" w:rsidRDefault="00726B1B" w:rsidP="0038184A">
      <w:pPr>
        <w:tabs>
          <w:tab w:val="right" w:pos="1843"/>
          <w:tab w:val="left" w:pos="4680"/>
          <w:tab w:val="left" w:pos="4860"/>
        </w:tabs>
        <w:spacing w:before="80" w:after="80"/>
        <w:rPr>
          <w:rFonts w:ascii="Verdana" w:hAnsi="Verdana" w:cs="Verdana"/>
          <w:sz w:val="20"/>
          <w:szCs w:val="20"/>
        </w:rPr>
      </w:pPr>
    </w:p>
    <w:p w:rsidR="00726B1B" w:rsidRPr="005C336D" w:rsidRDefault="00726B1B" w:rsidP="0038184A">
      <w:pPr>
        <w:tabs>
          <w:tab w:val="right" w:pos="1843"/>
          <w:tab w:val="left" w:pos="4680"/>
          <w:tab w:val="left" w:pos="4860"/>
        </w:tabs>
        <w:spacing w:before="80" w:after="80"/>
        <w:rPr>
          <w:rFonts w:ascii="Verdana" w:hAnsi="Verdana" w:cs="Verdana"/>
          <w:sz w:val="20"/>
          <w:szCs w:val="20"/>
        </w:rPr>
      </w:pPr>
      <w:r w:rsidRPr="005C336D">
        <w:rPr>
          <w:rFonts w:ascii="Verdana" w:hAnsi="Verdana" w:cs="Verdana"/>
          <w:sz w:val="20"/>
          <w:szCs w:val="20"/>
        </w:rPr>
        <w:t>.............................................</w:t>
      </w:r>
      <w:r w:rsidRPr="005C336D">
        <w:rPr>
          <w:rFonts w:ascii="Verdana" w:hAnsi="Verdana" w:cs="Verdana"/>
          <w:sz w:val="20"/>
          <w:szCs w:val="20"/>
        </w:rPr>
        <w:tab/>
        <w:t>.....................................................</w:t>
      </w:r>
    </w:p>
    <w:p w:rsidR="00726B1B" w:rsidRPr="005C336D" w:rsidRDefault="00726B1B" w:rsidP="00027172">
      <w:pPr>
        <w:tabs>
          <w:tab w:val="right" w:pos="1843"/>
          <w:tab w:val="left" w:pos="4678"/>
        </w:tabs>
        <w:spacing w:before="80" w:after="80"/>
        <w:rPr>
          <w:rFonts w:ascii="Verdana" w:hAnsi="Verdana" w:cs="Verdana"/>
          <w:sz w:val="20"/>
          <w:szCs w:val="20"/>
        </w:rPr>
      </w:pPr>
      <w:r w:rsidRPr="000335D5">
        <w:rPr>
          <w:rFonts w:ascii="Verdana" w:hAnsi="Verdana" w:cs="Verdana"/>
          <w:sz w:val="20"/>
          <w:szCs w:val="20"/>
        </w:rPr>
        <w:t>Ing. Jan Gruntorád, CSc.</w:t>
      </w:r>
      <w:r>
        <w:rPr>
          <w:rFonts w:ascii="Verdana" w:hAnsi="Verdana" w:cs="Verdana"/>
          <w:sz w:val="20"/>
          <w:szCs w:val="20"/>
        </w:rPr>
        <w:tab/>
        <w:t>… (jméno) 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726B1B" w:rsidRPr="005C336D" w:rsidRDefault="00726B1B" w:rsidP="00027172">
      <w:pPr>
        <w:tabs>
          <w:tab w:val="right" w:pos="1843"/>
          <w:tab w:val="left" w:pos="4678"/>
        </w:tabs>
        <w:spacing w:before="80" w:after="80"/>
        <w:rPr>
          <w:rFonts w:ascii="Verdana" w:hAnsi="Verdana" w:cs="Verdana"/>
          <w:sz w:val="20"/>
          <w:szCs w:val="20"/>
        </w:rPr>
      </w:pPr>
      <w:r w:rsidRPr="000335D5">
        <w:rPr>
          <w:rFonts w:ascii="Verdana" w:hAnsi="Verdana" w:cs="Verdana"/>
          <w:sz w:val="20"/>
          <w:szCs w:val="20"/>
        </w:rPr>
        <w:t xml:space="preserve">ředitel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 (funkce) …</w:t>
      </w:r>
      <w:r>
        <w:rPr>
          <w:rFonts w:ascii="Verdana" w:hAnsi="Verdana" w:cs="Verdana"/>
          <w:sz w:val="20"/>
          <w:szCs w:val="20"/>
        </w:rPr>
        <w:tab/>
      </w:r>
      <w:r w:rsidRPr="005C336D">
        <w:rPr>
          <w:rFonts w:ascii="Verdana" w:hAnsi="Verdana" w:cs="Verdana"/>
          <w:sz w:val="20"/>
          <w:szCs w:val="20"/>
        </w:rPr>
        <w:tab/>
      </w:r>
    </w:p>
    <w:p w:rsidR="00726B1B" w:rsidRDefault="00726B1B" w:rsidP="0038184A">
      <w:pPr>
        <w:tabs>
          <w:tab w:val="right" w:pos="1843"/>
        </w:tabs>
        <w:spacing w:before="80" w:after="80"/>
        <w:rPr>
          <w:rFonts w:ascii="Verdana" w:hAnsi="Verdana" w:cs="Verdana"/>
          <w:sz w:val="20"/>
          <w:szCs w:val="20"/>
        </w:rPr>
      </w:pPr>
    </w:p>
    <w:p w:rsidR="00726B1B" w:rsidRDefault="00726B1B" w:rsidP="0038184A">
      <w:pPr>
        <w:tabs>
          <w:tab w:val="right" w:pos="1843"/>
        </w:tabs>
        <w:spacing w:before="80" w:after="80"/>
        <w:rPr>
          <w:rFonts w:ascii="Verdana" w:hAnsi="Verdana" w:cs="Verdana"/>
          <w:sz w:val="20"/>
          <w:szCs w:val="20"/>
        </w:rPr>
      </w:pPr>
    </w:p>
    <w:p w:rsidR="00726B1B" w:rsidRDefault="00726B1B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F6645D" w:rsidRPr="000D1310" w:rsidRDefault="00F6645D" w:rsidP="00F6645D">
      <w:pPr>
        <w:jc w:val="center"/>
        <w:rPr>
          <w:rFonts w:ascii="Verdana" w:hAnsi="Verdana"/>
          <w:b/>
          <w:sz w:val="28"/>
          <w:szCs w:val="28"/>
        </w:rPr>
      </w:pPr>
      <w:r w:rsidRPr="000D1310">
        <w:rPr>
          <w:rFonts w:ascii="Verdana" w:hAnsi="Verdana"/>
          <w:b/>
          <w:sz w:val="28"/>
          <w:szCs w:val="28"/>
        </w:rPr>
        <w:t>Příloha č. 1 Technická specifikace předmětu plnění</w:t>
      </w:r>
    </w:p>
    <w:p w:rsidR="00F6645D" w:rsidRPr="00FB0BED" w:rsidRDefault="00F6645D" w:rsidP="00F6645D">
      <w:pPr>
        <w:jc w:val="center"/>
        <w:rPr>
          <w:rFonts w:ascii="Verdana" w:hAnsi="Verdana"/>
          <w:b/>
          <w:sz w:val="28"/>
          <w:szCs w:val="28"/>
        </w:rPr>
      </w:pPr>
    </w:p>
    <w:p w:rsidR="00F6645D" w:rsidRPr="00F6645D" w:rsidRDefault="00F6645D" w:rsidP="00F6645D">
      <w:pPr>
        <w:rPr>
          <w:rFonts w:ascii="Verdana" w:hAnsi="Verdana"/>
          <w:sz w:val="20"/>
          <w:szCs w:val="20"/>
        </w:rPr>
      </w:pPr>
      <w:r w:rsidRPr="00F6645D">
        <w:rPr>
          <w:rFonts w:ascii="Verdana" w:hAnsi="Verdana"/>
          <w:sz w:val="20"/>
          <w:szCs w:val="20"/>
        </w:rPr>
        <w:t xml:space="preserve">Předmětem plnění je dodávka optického modulačního analyzátoru - OMA. </w:t>
      </w:r>
    </w:p>
    <w:p w:rsidR="00F6645D" w:rsidRPr="00F6645D" w:rsidRDefault="00F6645D" w:rsidP="00F6645D">
      <w:pPr>
        <w:rPr>
          <w:rFonts w:ascii="Verdana" w:hAnsi="Verdana"/>
          <w:sz w:val="20"/>
          <w:szCs w:val="20"/>
        </w:rPr>
      </w:pPr>
    </w:p>
    <w:p w:rsidR="00F6645D" w:rsidRDefault="00F6645D" w:rsidP="00F664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Zařízení splňuje</w:t>
      </w:r>
      <w:r w:rsidRPr="00F664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tyto minimální</w:t>
      </w:r>
      <w:r w:rsidRPr="00F6645D">
        <w:rPr>
          <w:rFonts w:ascii="Verdana" w:hAnsi="Verdana"/>
          <w:sz w:val="20"/>
          <w:szCs w:val="20"/>
        </w:rPr>
        <w:t xml:space="preserve"> technické požadavky:</w:t>
      </w:r>
    </w:p>
    <w:p w:rsidR="00F6645D" w:rsidRPr="00F6645D" w:rsidRDefault="00F6645D" w:rsidP="00F6645D">
      <w:pPr>
        <w:rPr>
          <w:rFonts w:ascii="Verdana" w:hAnsi="Verdana"/>
          <w:sz w:val="20"/>
          <w:szCs w:val="20"/>
        </w:rPr>
      </w:pPr>
    </w:p>
    <w:p w:rsidR="00F6645D" w:rsidRPr="00F6645D" w:rsidRDefault="00F6645D" w:rsidP="00F6645D">
      <w:pPr>
        <w:rPr>
          <w:rFonts w:ascii="Verdana" w:hAnsi="Verdana"/>
          <w:sz w:val="20"/>
          <w:szCs w:val="20"/>
        </w:rPr>
      </w:pPr>
      <w:r w:rsidRPr="00F6645D">
        <w:rPr>
          <w:rFonts w:ascii="Verdana" w:hAnsi="Verdana"/>
          <w:sz w:val="20"/>
          <w:szCs w:val="20"/>
        </w:rPr>
        <w:t>1. analýza vysokorychlostních signálů pro rychlosti až do 100Gbaud</w:t>
      </w:r>
    </w:p>
    <w:p w:rsidR="00F6645D" w:rsidRPr="00F6645D" w:rsidRDefault="00F6645D" w:rsidP="00F6645D">
      <w:pPr>
        <w:rPr>
          <w:rFonts w:ascii="Verdana" w:hAnsi="Verdana"/>
          <w:sz w:val="20"/>
          <w:szCs w:val="20"/>
        </w:rPr>
      </w:pPr>
      <w:r w:rsidRPr="00F6645D">
        <w:rPr>
          <w:rFonts w:ascii="Verdana" w:hAnsi="Verdana"/>
          <w:sz w:val="20"/>
          <w:szCs w:val="20"/>
        </w:rPr>
        <w:t>2. podporované signály/modulace: OOK-RZ, OOK-NRZ, DPSK, QPSK, 16-QAM, 64-QAM</w:t>
      </w:r>
    </w:p>
    <w:p w:rsidR="00F6645D" w:rsidRPr="00F6645D" w:rsidRDefault="00F6645D" w:rsidP="00F6645D">
      <w:pPr>
        <w:rPr>
          <w:rFonts w:ascii="Verdana" w:hAnsi="Verdana"/>
          <w:sz w:val="20"/>
          <w:szCs w:val="20"/>
        </w:rPr>
      </w:pPr>
      <w:r w:rsidRPr="00F6645D">
        <w:rPr>
          <w:rFonts w:ascii="Verdana" w:hAnsi="Verdana"/>
          <w:sz w:val="20"/>
          <w:szCs w:val="20"/>
        </w:rPr>
        <w:t>3. vyhodnocování ‚</w:t>
      </w:r>
      <w:proofErr w:type="spellStart"/>
      <w:r w:rsidRPr="00F6645D">
        <w:rPr>
          <w:rFonts w:ascii="Verdana" w:hAnsi="Verdana"/>
          <w:sz w:val="20"/>
          <w:szCs w:val="20"/>
        </w:rPr>
        <w:t>dual-polarization</w:t>
      </w:r>
      <w:proofErr w:type="spellEnd"/>
      <w:r w:rsidRPr="00F6645D">
        <w:rPr>
          <w:rFonts w:ascii="Verdana" w:hAnsi="Verdana"/>
          <w:sz w:val="20"/>
          <w:szCs w:val="20"/>
        </w:rPr>
        <w:t>‘ signály, např. DP-QPSK</w:t>
      </w:r>
    </w:p>
    <w:p w:rsidR="00F6645D" w:rsidRPr="00F6645D" w:rsidRDefault="00F6645D" w:rsidP="00F6645D">
      <w:pPr>
        <w:rPr>
          <w:rFonts w:ascii="Verdana" w:hAnsi="Verdana"/>
          <w:sz w:val="20"/>
          <w:szCs w:val="20"/>
        </w:rPr>
      </w:pPr>
      <w:r w:rsidRPr="00F6645D">
        <w:rPr>
          <w:rFonts w:ascii="Verdana" w:hAnsi="Verdana"/>
          <w:sz w:val="20"/>
          <w:szCs w:val="20"/>
        </w:rPr>
        <w:t>4. zobrazování konstelačních diagramů</w:t>
      </w:r>
    </w:p>
    <w:p w:rsidR="00F6645D" w:rsidRPr="00F6645D" w:rsidRDefault="00F6645D" w:rsidP="00F6645D">
      <w:pPr>
        <w:rPr>
          <w:rFonts w:ascii="Verdana" w:hAnsi="Verdana"/>
          <w:sz w:val="20"/>
          <w:szCs w:val="20"/>
        </w:rPr>
      </w:pPr>
      <w:r w:rsidRPr="00F6645D">
        <w:rPr>
          <w:rFonts w:ascii="Verdana" w:hAnsi="Verdana"/>
          <w:sz w:val="20"/>
          <w:szCs w:val="20"/>
        </w:rPr>
        <w:t>5. zobrazování oka rozhodnutí pro I a Q modulace (včetně zobrazení masek)</w:t>
      </w:r>
    </w:p>
    <w:p w:rsidR="00F6645D" w:rsidRPr="00F6645D" w:rsidRDefault="00F6645D" w:rsidP="00F6645D">
      <w:pPr>
        <w:rPr>
          <w:rFonts w:ascii="Verdana" w:hAnsi="Verdana"/>
          <w:sz w:val="20"/>
          <w:szCs w:val="20"/>
        </w:rPr>
      </w:pPr>
      <w:r w:rsidRPr="00F6645D">
        <w:rPr>
          <w:rFonts w:ascii="Verdana" w:hAnsi="Verdana"/>
          <w:sz w:val="20"/>
          <w:szCs w:val="20"/>
        </w:rPr>
        <w:t>6. provádění EVM (</w:t>
      </w:r>
      <w:proofErr w:type="spellStart"/>
      <w:r w:rsidRPr="00F6645D">
        <w:rPr>
          <w:rFonts w:ascii="Verdana" w:hAnsi="Verdana"/>
          <w:sz w:val="20"/>
          <w:szCs w:val="20"/>
        </w:rPr>
        <w:t>error</w:t>
      </w:r>
      <w:proofErr w:type="spellEnd"/>
      <w:r w:rsidRPr="00F6645D">
        <w:rPr>
          <w:rFonts w:ascii="Verdana" w:hAnsi="Verdana"/>
          <w:sz w:val="20"/>
          <w:szCs w:val="20"/>
        </w:rPr>
        <w:t xml:space="preserve"> </w:t>
      </w:r>
      <w:proofErr w:type="spellStart"/>
      <w:r w:rsidRPr="00F6645D">
        <w:rPr>
          <w:rFonts w:ascii="Verdana" w:hAnsi="Verdana"/>
          <w:sz w:val="20"/>
          <w:szCs w:val="20"/>
        </w:rPr>
        <w:t>vector</w:t>
      </w:r>
      <w:proofErr w:type="spellEnd"/>
      <w:r w:rsidRPr="00F6645D">
        <w:rPr>
          <w:rFonts w:ascii="Verdana" w:hAnsi="Verdana"/>
          <w:sz w:val="20"/>
          <w:szCs w:val="20"/>
        </w:rPr>
        <w:t xml:space="preserve"> magnitude) </w:t>
      </w:r>
      <w:proofErr w:type="gramStart"/>
      <w:r w:rsidRPr="00F6645D">
        <w:rPr>
          <w:rFonts w:ascii="Verdana" w:hAnsi="Verdana"/>
          <w:sz w:val="20"/>
          <w:szCs w:val="20"/>
        </w:rPr>
        <w:t>měření  a zobrazení</w:t>
      </w:r>
      <w:proofErr w:type="gramEnd"/>
      <w:r w:rsidRPr="00F6645D">
        <w:rPr>
          <w:rFonts w:ascii="Verdana" w:hAnsi="Verdana"/>
          <w:sz w:val="20"/>
          <w:szCs w:val="20"/>
        </w:rPr>
        <w:t xml:space="preserve"> hodnot ‚EVM </w:t>
      </w:r>
      <w:proofErr w:type="spellStart"/>
      <w:r w:rsidRPr="00F6645D">
        <w:rPr>
          <w:rFonts w:ascii="Verdana" w:hAnsi="Verdana"/>
          <w:sz w:val="20"/>
          <w:szCs w:val="20"/>
        </w:rPr>
        <w:t>peak</w:t>
      </w:r>
      <w:proofErr w:type="spellEnd"/>
      <w:r w:rsidRPr="00F6645D">
        <w:rPr>
          <w:rFonts w:ascii="Verdana" w:hAnsi="Verdana"/>
          <w:sz w:val="20"/>
          <w:szCs w:val="20"/>
        </w:rPr>
        <w:t xml:space="preserve">‘ a ‚EVM </w:t>
      </w:r>
      <w:proofErr w:type="spellStart"/>
      <w:r w:rsidRPr="00F6645D">
        <w:rPr>
          <w:rFonts w:ascii="Verdana" w:hAnsi="Verdana"/>
          <w:sz w:val="20"/>
          <w:szCs w:val="20"/>
        </w:rPr>
        <w:t>average</w:t>
      </w:r>
      <w:proofErr w:type="spellEnd"/>
      <w:r w:rsidRPr="00F6645D">
        <w:rPr>
          <w:rFonts w:ascii="Verdana" w:hAnsi="Verdana"/>
          <w:sz w:val="20"/>
          <w:szCs w:val="20"/>
        </w:rPr>
        <w:t>‘</w:t>
      </w: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441D99" w:rsidRDefault="00441D99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p w:rsidR="00726B1B" w:rsidRDefault="00726B1B" w:rsidP="00BE5F44">
      <w:pPr>
        <w:tabs>
          <w:tab w:val="right" w:pos="1843"/>
        </w:tabs>
        <w:spacing w:before="80" w:after="80"/>
        <w:jc w:val="center"/>
        <w:rPr>
          <w:rFonts w:ascii="Verdana" w:hAnsi="Verdana" w:cs="Verdana"/>
          <w:b/>
          <w:bCs/>
        </w:rPr>
      </w:pPr>
    </w:p>
    <w:sectPr w:rsidR="00726B1B" w:rsidSect="00C015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D1" w:rsidRDefault="007827D1" w:rsidP="0097604A">
      <w:r>
        <w:separator/>
      </w:r>
    </w:p>
  </w:endnote>
  <w:endnote w:type="continuationSeparator" w:id="0">
    <w:p w:rsidR="007827D1" w:rsidRDefault="007827D1" w:rsidP="0097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38211720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0D1310" w:rsidRPr="000D1310" w:rsidRDefault="000D1310" w:rsidP="000D1310">
        <w:pPr>
          <w:pStyle w:val="Zpat"/>
          <w:pBdr>
            <w:top w:val="single" w:sz="4" w:space="1" w:color="auto"/>
          </w:pBdr>
          <w:tabs>
            <w:tab w:val="clear" w:pos="9072"/>
          </w:tabs>
          <w:jc w:val="left"/>
          <w:rPr>
            <w:rFonts w:ascii="Verdana" w:hAnsi="Verdana" w:cs="Verdana"/>
            <w:sz w:val="16"/>
            <w:szCs w:val="16"/>
          </w:rPr>
        </w:pPr>
        <w:r w:rsidRPr="000D1310">
          <w:rPr>
            <w:rFonts w:ascii="Verdana" w:hAnsi="Verdana" w:cs="Verdana"/>
            <w:sz w:val="16"/>
            <w:szCs w:val="16"/>
          </w:rPr>
          <w:t xml:space="preserve">Příloha č. 2 </w:t>
        </w:r>
        <w:r w:rsidR="00D802EB">
          <w:rPr>
            <w:rFonts w:ascii="Verdana" w:hAnsi="Verdana" w:cs="Verdana"/>
            <w:sz w:val="16"/>
            <w:szCs w:val="16"/>
          </w:rPr>
          <w:t>zadávací dokumentace</w:t>
        </w:r>
        <w:r w:rsidRPr="000D1310">
          <w:rPr>
            <w:rFonts w:ascii="Verdana" w:hAnsi="Verdana" w:cs="Verdana"/>
            <w:sz w:val="16"/>
            <w:szCs w:val="16"/>
          </w:rPr>
          <w:tab/>
        </w:r>
        <w:r w:rsidRPr="000D1310">
          <w:rPr>
            <w:rFonts w:ascii="Verdana" w:hAnsi="Verdana" w:cs="Verdana"/>
            <w:sz w:val="16"/>
            <w:szCs w:val="16"/>
          </w:rPr>
          <w:tab/>
        </w:r>
        <w:r w:rsidRPr="000D1310">
          <w:rPr>
            <w:rFonts w:ascii="Verdana" w:hAnsi="Verdana" w:cs="Verdana"/>
            <w:sz w:val="16"/>
            <w:szCs w:val="16"/>
          </w:rPr>
          <w:tab/>
        </w:r>
        <w:r w:rsidRPr="000D1310">
          <w:rPr>
            <w:rFonts w:ascii="Verdana" w:hAnsi="Verdana" w:cs="Verdana"/>
            <w:sz w:val="16"/>
            <w:szCs w:val="16"/>
          </w:rPr>
          <w:tab/>
        </w:r>
        <w:r w:rsidRPr="000D1310">
          <w:rPr>
            <w:rFonts w:ascii="Verdana" w:hAnsi="Verdana" w:cs="Verdana"/>
            <w:sz w:val="16"/>
            <w:szCs w:val="16"/>
          </w:rPr>
          <w:tab/>
        </w:r>
        <w:r w:rsidRPr="000D1310">
          <w:rPr>
            <w:rFonts w:ascii="Verdana" w:hAnsi="Verdana" w:cs="Verdana"/>
            <w:sz w:val="16"/>
            <w:szCs w:val="16"/>
          </w:rPr>
          <w:tab/>
          <w:t xml:space="preserve">     </w:t>
        </w:r>
      </w:p>
      <w:p w:rsidR="000D1310" w:rsidRPr="000D1310" w:rsidRDefault="000D1310" w:rsidP="000D1310">
        <w:pPr>
          <w:pStyle w:val="Zpat"/>
          <w:rPr>
            <w:rFonts w:ascii="Verdana" w:hAnsi="Verdana"/>
            <w:sz w:val="16"/>
            <w:szCs w:val="16"/>
          </w:rPr>
        </w:pPr>
        <w:r w:rsidRPr="000D1310">
          <w:rPr>
            <w:rFonts w:ascii="Verdana" w:hAnsi="Verdana" w:cs="Verdana"/>
            <w:sz w:val="16"/>
            <w:szCs w:val="16"/>
          </w:rPr>
          <w:t xml:space="preserve"> „</w:t>
        </w:r>
        <w:r w:rsidRPr="000D1310">
          <w:rPr>
            <w:rFonts w:ascii="Verdana" w:hAnsi="Verdana" w:cs="Verdana"/>
            <w:snapToGrid w:val="0"/>
            <w:sz w:val="16"/>
            <w:szCs w:val="16"/>
          </w:rPr>
          <w:t>Optický modulační analyzátor</w:t>
        </w:r>
        <w:r w:rsidRPr="000D1310">
          <w:rPr>
            <w:rFonts w:ascii="Verdana" w:hAnsi="Verdana" w:cs="Verdana"/>
            <w:sz w:val="16"/>
            <w:szCs w:val="16"/>
          </w:rPr>
          <w:t>“</w:t>
        </w:r>
        <w:r w:rsidRPr="000D1310">
          <w:rPr>
            <w:rFonts w:ascii="Verdana" w:hAnsi="Verdana" w:cs="Verdana"/>
            <w:sz w:val="16"/>
            <w:szCs w:val="16"/>
          </w:rPr>
          <w:tab/>
        </w:r>
        <w:r w:rsidRPr="000D1310">
          <w:rPr>
            <w:rFonts w:ascii="Verdana" w:hAnsi="Verdana" w:cs="Verdana"/>
            <w:sz w:val="16"/>
            <w:szCs w:val="16"/>
          </w:rPr>
          <w:tab/>
        </w:r>
        <w:r w:rsidRPr="000D1310">
          <w:rPr>
            <w:rFonts w:ascii="Verdana" w:hAnsi="Verdana"/>
            <w:sz w:val="16"/>
            <w:szCs w:val="16"/>
          </w:rPr>
          <w:fldChar w:fldCharType="begin"/>
        </w:r>
        <w:r w:rsidRPr="000D1310">
          <w:rPr>
            <w:rFonts w:ascii="Verdana" w:hAnsi="Verdana"/>
            <w:sz w:val="16"/>
            <w:szCs w:val="16"/>
          </w:rPr>
          <w:instrText>PAGE   \* MERGEFORMAT</w:instrText>
        </w:r>
        <w:r w:rsidRPr="000D1310">
          <w:rPr>
            <w:rFonts w:ascii="Verdana" w:hAnsi="Verdana"/>
            <w:sz w:val="16"/>
            <w:szCs w:val="16"/>
          </w:rPr>
          <w:fldChar w:fldCharType="separate"/>
        </w:r>
        <w:r w:rsidR="00D802EB">
          <w:rPr>
            <w:rFonts w:ascii="Verdana" w:hAnsi="Verdana"/>
            <w:noProof/>
            <w:sz w:val="16"/>
            <w:szCs w:val="16"/>
          </w:rPr>
          <w:t>1</w:t>
        </w:r>
        <w:r w:rsidRPr="000D1310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>/7</w:t>
        </w:r>
      </w:p>
    </w:sdtContent>
  </w:sdt>
  <w:p w:rsidR="00726B1B" w:rsidRPr="00FF0CB8" w:rsidRDefault="00726B1B">
    <w:pPr>
      <w:pStyle w:val="Zpat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D1" w:rsidRDefault="007827D1" w:rsidP="0097604A">
      <w:r>
        <w:separator/>
      </w:r>
    </w:p>
  </w:footnote>
  <w:footnote w:type="continuationSeparator" w:id="0">
    <w:p w:rsidR="007827D1" w:rsidRDefault="007827D1" w:rsidP="0097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DD86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4B37D09"/>
    <w:multiLevelType w:val="hybridMultilevel"/>
    <w:tmpl w:val="1E68D08E"/>
    <w:lvl w:ilvl="0" w:tplc="9FC85142">
      <w:start w:val="1"/>
      <w:numFmt w:val="decimal"/>
      <w:lvlText w:val="5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AEA445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0462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C1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E14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0B6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CE4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CBA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CC1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73357"/>
    <w:multiLevelType w:val="hybridMultilevel"/>
    <w:tmpl w:val="39F6079A"/>
    <w:lvl w:ilvl="0" w:tplc="E26CDD36">
      <w:start w:val="1"/>
      <w:numFmt w:val="decimal"/>
      <w:lvlText w:val="6. 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F0E93"/>
    <w:multiLevelType w:val="multilevel"/>
    <w:tmpl w:val="545A8432"/>
    <w:lvl w:ilvl="0">
      <w:start w:val="1"/>
      <w:numFmt w:val="decimal"/>
      <w:lvlText w:val="7. 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7.17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86327C5"/>
    <w:multiLevelType w:val="multilevel"/>
    <w:tmpl w:val="2A3A4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BC5F56"/>
    <w:multiLevelType w:val="hybridMultilevel"/>
    <w:tmpl w:val="7348F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0E271E"/>
    <w:multiLevelType w:val="multilevel"/>
    <w:tmpl w:val="18528B30"/>
    <w:lvl w:ilvl="0">
      <w:start w:val="1"/>
      <w:numFmt w:val="decimal"/>
      <w:lvlText w:val="7. 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none"/>
      <w:lvlText w:val="7.1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89F4E41"/>
    <w:multiLevelType w:val="multilevel"/>
    <w:tmpl w:val="2A3A4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C16983"/>
    <w:multiLevelType w:val="singleLevel"/>
    <w:tmpl w:val="5DD8820A"/>
    <w:lvl w:ilvl="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9">
    <w:nsid w:val="519A3973"/>
    <w:multiLevelType w:val="hybridMultilevel"/>
    <w:tmpl w:val="61B03822"/>
    <w:lvl w:ilvl="0" w:tplc="9E663B22">
      <w:start w:val="1"/>
      <w:numFmt w:val="decimal"/>
      <w:lvlText w:val="4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01A1E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DB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2E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A32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E74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A0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3C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435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B67D37"/>
    <w:multiLevelType w:val="multilevel"/>
    <w:tmpl w:val="87149B0C"/>
    <w:lvl w:ilvl="0">
      <w:start w:val="1"/>
      <w:numFmt w:val="decimal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FC81C49"/>
    <w:multiLevelType w:val="hybridMultilevel"/>
    <w:tmpl w:val="AC4A1E38"/>
    <w:lvl w:ilvl="0" w:tplc="2BF267A0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22C20"/>
    <w:multiLevelType w:val="hybridMultilevel"/>
    <w:tmpl w:val="E0FA57F2"/>
    <w:lvl w:ilvl="0" w:tplc="D6BC93A6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E4651"/>
    <w:multiLevelType w:val="multilevel"/>
    <w:tmpl w:val="938A96F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dnadpisek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Podnadpisecek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9"/>
    <w:lvlOverride w:ilvl="0">
      <w:lvl w:ilvl="0" w:tplc="9E663B22">
        <w:start w:val="1"/>
        <w:numFmt w:val="decimal"/>
        <w:lvlText w:val="4.%1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1">
      <w:lvl w:ilvl="1" w:tplc="001A1E3E">
        <w:start w:val="1"/>
        <w:numFmt w:val="none"/>
        <w:lvlText w:val="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76D2DB68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E312E9D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9C9A326C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D86E74FE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9B7A0600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742C3C5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1D943550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0">
    <w:abstractNumId w:val="9"/>
    <w:lvlOverride w:ilvl="0">
      <w:lvl w:ilvl="0" w:tplc="9E663B22">
        <w:start w:val="1"/>
        <w:numFmt w:val="decimal"/>
        <w:lvlText w:val="4.%1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1">
      <w:lvl w:ilvl="1" w:tplc="001A1E3E">
        <w:start w:val="1"/>
        <w:numFmt w:val="none"/>
        <w:lvlText w:val="4.2.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76D2DB68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E312E9D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9C9A326C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D86E74FE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9B7A0600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742C3C5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1D943550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1">
    <w:abstractNumId w:val="3"/>
  </w:num>
  <w:num w:numId="12">
    <w:abstractNumId w:val="7"/>
  </w:num>
  <w:num w:numId="13">
    <w:abstractNumId w:val="4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4A"/>
    <w:rsid w:val="00013835"/>
    <w:rsid w:val="00020F70"/>
    <w:rsid w:val="00027172"/>
    <w:rsid w:val="000335D5"/>
    <w:rsid w:val="00034B76"/>
    <w:rsid w:val="00050214"/>
    <w:rsid w:val="00071A7D"/>
    <w:rsid w:val="000A4324"/>
    <w:rsid w:val="000C275D"/>
    <w:rsid w:val="000D0066"/>
    <w:rsid w:val="000D1310"/>
    <w:rsid w:val="000E3DD3"/>
    <w:rsid w:val="00110039"/>
    <w:rsid w:val="001168F9"/>
    <w:rsid w:val="0014594C"/>
    <w:rsid w:val="00170AE9"/>
    <w:rsid w:val="00171020"/>
    <w:rsid w:val="001720F7"/>
    <w:rsid w:val="0018133E"/>
    <w:rsid w:val="001877DD"/>
    <w:rsid w:val="0019712D"/>
    <w:rsid w:val="001C39F2"/>
    <w:rsid w:val="001C51F4"/>
    <w:rsid w:val="001D7DDD"/>
    <w:rsid w:val="001E7607"/>
    <w:rsid w:val="002051F6"/>
    <w:rsid w:val="002461B3"/>
    <w:rsid w:val="00246AA1"/>
    <w:rsid w:val="0029455D"/>
    <w:rsid w:val="002C057C"/>
    <w:rsid w:val="002C745E"/>
    <w:rsid w:val="002E5DBB"/>
    <w:rsid w:val="002E5EFF"/>
    <w:rsid w:val="00307B74"/>
    <w:rsid w:val="003337DC"/>
    <w:rsid w:val="003529F3"/>
    <w:rsid w:val="00356095"/>
    <w:rsid w:val="0038184A"/>
    <w:rsid w:val="00424D5D"/>
    <w:rsid w:val="004312A1"/>
    <w:rsid w:val="00441D99"/>
    <w:rsid w:val="00476021"/>
    <w:rsid w:val="004763F4"/>
    <w:rsid w:val="004B5DA7"/>
    <w:rsid w:val="004C6E88"/>
    <w:rsid w:val="004E541C"/>
    <w:rsid w:val="004E5E98"/>
    <w:rsid w:val="004E69CC"/>
    <w:rsid w:val="00502ADE"/>
    <w:rsid w:val="00510AEF"/>
    <w:rsid w:val="00513960"/>
    <w:rsid w:val="00521CDB"/>
    <w:rsid w:val="00581F7C"/>
    <w:rsid w:val="005822EE"/>
    <w:rsid w:val="005C336D"/>
    <w:rsid w:val="005E0CE2"/>
    <w:rsid w:val="005E2BE2"/>
    <w:rsid w:val="005F2086"/>
    <w:rsid w:val="005F2150"/>
    <w:rsid w:val="005F2F9F"/>
    <w:rsid w:val="005F529D"/>
    <w:rsid w:val="00602029"/>
    <w:rsid w:val="0062702F"/>
    <w:rsid w:val="006525F9"/>
    <w:rsid w:val="00667C35"/>
    <w:rsid w:val="00685886"/>
    <w:rsid w:val="006945E6"/>
    <w:rsid w:val="006B7451"/>
    <w:rsid w:val="006D4338"/>
    <w:rsid w:val="006F04DB"/>
    <w:rsid w:val="00713155"/>
    <w:rsid w:val="00716DE8"/>
    <w:rsid w:val="00722BDA"/>
    <w:rsid w:val="00726B1B"/>
    <w:rsid w:val="00731851"/>
    <w:rsid w:val="00741F0E"/>
    <w:rsid w:val="0075048C"/>
    <w:rsid w:val="007827D1"/>
    <w:rsid w:val="00785ED4"/>
    <w:rsid w:val="007B2110"/>
    <w:rsid w:val="007C1C2A"/>
    <w:rsid w:val="00807215"/>
    <w:rsid w:val="008115A7"/>
    <w:rsid w:val="00821B8E"/>
    <w:rsid w:val="00824444"/>
    <w:rsid w:val="00831C85"/>
    <w:rsid w:val="00857A7A"/>
    <w:rsid w:val="0086554B"/>
    <w:rsid w:val="00865664"/>
    <w:rsid w:val="008C225C"/>
    <w:rsid w:val="0096239E"/>
    <w:rsid w:val="00962B9F"/>
    <w:rsid w:val="00964B29"/>
    <w:rsid w:val="009737AD"/>
    <w:rsid w:val="0097604A"/>
    <w:rsid w:val="00976B44"/>
    <w:rsid w:val="00982D84"/>
    <w:rsid w:val="00986E15"/>
    <w:rsid w:val="009A0A83"/>
    <w:rsid w:val="009A5A9F"/>
    <w:rsid w:val="009B2CCB"/>
    <w:rsid w:val="009C54FE"/>
    <w:rsid w:val="009F03B8"/>
    <w:rsid w:val="009F7DF8"/>
    <w:rsid w:val="00A30BE4"/>
    <w:rsid w:val="00A31524"/>
    <w:rsid w:val="00A619AF"/>
    <w:rsid w:val="00A97112"/>
    <w:rsid w:val="00AA4130"/>
    <w:rsid w:val="00AB5DB5"/>
    <w:rsid w:val="00AC28BE"/>
    <w:rsid w:val="00AF07D7"/>
    <w:rsid w:val="00B017CC"/>
    <w:rsid w:val="00B11429"/>
    <w:rsid w:val="00B177E4"/>
    <w:rsid w:val="00B26F1C"/>
    <w:rsid w:val="00B34E29"/>
    <w:rsid w:val="00B66EA9"/>
    <w:rsid w:val="00B7221F"/>
    <w:rsid w:val="00B74BD4"/>
    <w:rsid w:val="00B85FEF"/>
    <w:rsid w:val="00B86DC7"/>
    <w:rsid w:val="00B873B7"/>
    <w:rsid w:val="00BB78B1"/>
    <w:rsid w:val="00BC7D04"/>
    <w:rsid w:val="00BD5237"/>
    <w:rsid w:val="00BE45A6"/>
    <w:rsid w:val="00BE4743"/>
    <w:rsid w:val="00BE5F44"/>
    <w:rsid w:val="00BF010B"/>
    <w:rsid w:val="00BF0CBA"/>
    <w:rsid w:val="00BF615C"/>
    <w:rsid w:val="00C0077B"/>
    <w:rsid w:val="00C0151F"/>
    <w:rsid w:val="00C05A83"/>
    <w:rsid w:val="00C105DB"/>
    <w:rsid w:val="00C35CA7"/>
    <w:rsid w:val="00C368B5"/>
    <w:rsid w:val="00C654AB"/>
    <w:rsid w:val="00C70F83"/>
    <w:rsid w:val="00C73AA3"/>
    <w:rsid w:val="00C77EA9"/>
    <w:rsid w:val="00C86AA4"/>
    <w:rsid w:val="00CA135E"/>
    <w:rsid w:val="00CA451A"/>
    <w:rsid w:val="00CB13E2"/>
    <w:rsid w:val="00CB186D"/>
    <w:rsid w:val="00CE3865"/>
    <w:rsid w:val="00D032CE"/>
    <w:rsid w:val="00D256C8"/>
    <w:rsid w:val="00D31D6A"/>
    <w:rsid w:val="00D379D4"/>
    <w:rsid w:val="00D37AC1"/>
    <w:rsid w:val="00D56AF5"/>
    <w:rsid w:val="00D802EB"/>
    <w:rsid w:val="00D932E2"/>
    <w:rsid w:val="00DA4D1C"/>
    <w:rsid w:val="00DC3273"/>
    <w:rsid w:val="00DF6F2A"/>
    <w:rsid w:val="00E35898"/>
    <w:rsid w:val="00E4561A"/>
    <w:rsid w:val="00E66CE0"/>
    <w:rsid w:val="00EA0B35"/>
    <w:rsid w:val="00ED4E19"/>
    <w:rsid w:val="00EE0A2B"/>
    <w:rsid w:val="00EF75EF"/>
    <w:rsid w:val="00F1200B"/>
    <w:rsid w:val="00F5571E"/>
    <w:rsid w:val="00F6645D"/>
    <w:rsid w:val="00FF0CB8"/>
    <w:rsid w:val="00FF10AF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84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8184A"/>
    <w:pPr>
      <w:keepNext/>
      <w:numPr>
        <w:numId w:val="1"/>
      </w:numPr>
      <w:spacing w:before="120" w:after="240"/>
      <w:jc w:val="left"/>
      <w:outlineLvl w:val="0"/>
    </w:pPr>
    <w:rPr>
      <w:b/>
      <w:bCs/>
      <w:sz w:val="28"/>
      <w:szCs w:val="28"/>
    </w:rPr>
  </w:style>
  <w:style w:type="paragraph" w:styleId="Nadpis2">
    <w:name w:val="heading 2"/>
    <w:aliases w:val="Nadpis 2 Char"/>
    <w:basedOn w:val="Normln"/>
    <w:next w:val="Normln"/>
    <w:link w:val="Nadpis2Char1"/>
    <w:uiPriority w:val="99"/>
    <w:qFormat/>
    <w:rsid w:val="0038184A"/>
    <w:pPr>
      <w:keepNext/>
      <w:spacing w:before="240" w:after="120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1">
    <w:name w:val="Nadpis 2 Char1"/>
    <w:aliases w:val="Nadpis 2 Char Char"/>
    <w:basedOn w:val="Standardnpsmoodstavce"/>
    <w:link w:val="Nadpis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rsid w:val="0038184A"/>
    <w:pPr>
      <w:tabs>
        <w:tab w:val="right" w:pos="1843"/>
      </w:tabs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Arial" w:hAnsi="Arial" w:cs="Arial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38184A"/>
    <w:pPr>
      <w:tabs>
        <w:tab w:val="right" w:pos="1843"/>
      </w:tabs>
      <w:spacing w:after="40"/>
    </w:pPr>
    <w:rPr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Arial" w:hAnsi="Arial" w:cs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38184A"/>
    <w:pPr>
      <w:ind w:firstLine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rFonts w:ascii="Arial" w:hAnsi="Arial" w:cs="Arial"/>
      <w:sz w:val="24"/>
      <w:szCs w:val="24"/>
      <w:lang w:eastAsia="en-US"/>
    </w:rPr>
  </w:style>
  <w:style w:type="paragraph" w:customStyle="1" w:styleId="Podnadpisek">
    <w:name w:val="Podnadpisek"/>
    <w:basedOn w:val="Normln"/>
    <w:next w:val="Normln"/>
    <w:uiPriority w:val="99"/>
    <w:rsid w:val="0038184A"/>
    <w:pPr>
      <w:numPr>
        <w:ilvl w:val="1"/>
        <w:numId w:val="1"/>
      </w:numPr>
      <w:spacing w:before="80" w:after="120"/>
    </w:pPr>
    <w:rPr>
      <w:b/>
      <w:bCs/>
    </w:rPr>
  </w:style>
  <w:style w:type="paragraph" w:customStyle="1" w:styleId="Podnadpisecek">
    <w:name w:val="Podnadpisecek"/>
    <w:basedOn w:val="Normln"/>
    <w:next w:val="Normln"/>
    <w:uiPriority w:val="99"/>
    <w:rsid w:val="0038184A"/>
    <w:pPr>
      <w:numPr>
        <w:ilvl w:val="2"/>
        <w:numId w:val="1"/>
      </w:numPr>
      <w:spacing w:before="80" w:after="80"/>
    </w:pPr>
    <w:rPr>
      <w:b/>
      <w:bCs/>
      <w:i/>
      <w:iCs/>
      <w:sz w:val="22"/>
      <w:szCs w:val="22"/>
    </w:rPr>
  </w:style>
  <w:style w:type="paragraph" w:customStyle="1" w:styleId="text">
    <w:name w:val="text"/>
    <w:basedOn w:val="Normln"/>
    <w:link w:val="textChar"/>
    <w:uiPriority w:val="99"/>
    <w:rsid w:val="0038184A"/>
    <w:pPr>
      <w:spacing w:after="40"/>
    </w:pPr>
    <w:rPr>
      <w:sz w:val="22"/>
      <w:szCs w:val="22"/>
    </w:rPr>
  </w:style>
  <w:style w:type="character" w:customStyle="1" w:styleId="textChar">
    <w:name w:val="text Char"/>
    <w:link w:val="text"/>
    <w:uiPriority w:val="99"/>
    <w:rsid w:val="0038184A"/>
    <w:rPr>
      <w:rFonts w:ascii="Arial" w:hAnsi="Arial" w:cs="Arial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72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9760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5F2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2086"/>
    <w:rPr>
      <w:rFonts w:ascii="Arial" w:hAnsi="Arial" w:cs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5F2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086"/>
    <w:rPr>
      <w:rFonts w:ascii="Arial" w:hAnsi="Arial" w:cs="Arial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5C336D"/>
    <w:pPr>
      <w:suppressAutoHyphens/>
      <w:jc w:val="left"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336D"/>
    <w:rPr>
      <w:rFonts w:ascii="Arial" w:hAnsi="Arial" w:cs="Arial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5C336D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73AA3"/>
    <w:pPr>
      <w:suppressAutoHyphens w:val="0"/>
      <w:jc w:val="both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73AA3"/>
    <w:rPr>
      <w:rFonts w:ascii="Arial" w:hAnsi="Arial" w:cs="Arial"/>
      <w:b/>
      <w:bCs/>
      <w:lang w:eastAsia="en-US" w:bidi="ar-SA"/>
    </w:rPr>
  </w:style>
  <w:style w:type="paragraph" w:styleId="Revize">
    <w:name w:val="Revision"/>
    <w:hidden/>
    <w:uiPriority w:val="99"/>
    <w:semiHidden/>
    <w:rsid w:val="00BE5F44"/>
    <w:rPr>
      <w:rFonts w:ascii="Arial" w:hAnsi="Arial" w:cs="Arial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FF0C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0CB8"/>
    <w:rPr>
      <w:rFonts w:ascii="Arial" w:hAnsi="Arial" w:cs="Arial"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84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8184A"/>
    <w:pPr>
      <w:keepNext/>
      <w:numPr>
        <w:numId w:val="1"/>
      </w:numPr>
      <w:spacing w:before="120" w:after="240"/>
      <w:jc w:val="left"/>
      <w:outlineLvl w:val="0"/>
    </w:pPr>
    <w:rPr>
      <w:b/>
      <w:bCs/>
      <w:sz w:val="28"/>
      <w:szCs w:val="28"/>
    </w:rPr>
  </w:style>
  <w:style w:type="paragraph" w:styleId="Nadpis2">
    <w:name w:val="heading 2"/>
    <w:aliases w:val="Nadpis 2 Char"/>
    <w:basedOn w:val="Normln"/>
    <w:next w:val="Normln"/>
    <w:link w:val="Nadpis2Char1"/>
    <w:uiPriority w:val="99"/>
    <w:qFormat/>
    <w:rsid w:val="0038184A"/>
    <w:pPr>
      <w:keepNext/>
      <w:spacing w:before="240" w:after="120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1">
    <w:name w:val="Nadpis 2 Char1"/>
    <w:aliases w:val="Nadpis 2 Char Char"/>
    <w:basedOn w:val="Standardnpsmoodstavce"/>
    <w:link w:val="Nadpis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rsid w:val="0038184A"/>
    <w:pPr>
      <w:tabs>
        <w:tab w:val="right" w:pos="1843"/>
      </w:tabs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Arial" w:hAnsi="Arial" w:cs="Arial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38184A"/>
    <w:pPr>
      <w:tabs>
        <w:tab w:val="right" w:pos="1843"/>
      </w:tabs>
      <w:spacing w:after="40"/>
    </w:pPr>
    <w:rPr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Arial" w:hAnsi="Arial" w:cs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38184A"/>
    <w:pPr>
      <w:ind w:firstLine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rFonts w:ascii="Arial" w:hAnsi="Arial" w:cs="Arial"/>
      <w:sz w:val="24"/>
      <w:szCs w:val="24"/>
      <w:lang w:eastAsia="en-US"/>
    </w:rPr>
  </w:style>
  <w:style w:type="paragraph" w:customStyle="1" w:styleId="Podnadpisek">
    <w:name w:val="Podnadpisek"/>
    <w:basedOn w:val="Normln"/>
    <w:next w:val="Normln"/>
    <w:uiPriority w:val="99"/>
    <w:rsid w:val="0038184A"/>
    <w:pPr>
      <w:numPr>
        <w:ilvl w:val="1"/>
        <w:numId w:val="1"/>
      </w:numPr>
      <w:spacing w:before="80" w:after="120"/>
    </w:pPr>
    <w:rPr>
      <w:b/>
      <w:bCs/>
    </w:rPr>
  </w:style>
  <w:style w:type="paragraph" w:customStyle="1" w:styleId="Podnadpisecek">
    <w:name w:val="Podnadpisecek"/>
    <w:basedOn w:val="Normln"/>
    <w:next w:val="Normln"/>
    <w:uiPriority w:val="99"/>
    <w:rsid w:val="0038184A"/>
    <w:pPr>
      <w:numPr>
        <w:ilvl w:val="2"/>
        <w:numId w:val="1"/>
      </w:numPr>
      <w:spacing w:before="80" w:after="80"/>
    </w:pPr>
    <w:rPr>
      <w:b/>
      <w:bCs/>
      <w:i/>
      <w:iCs/>
      <w:sz w:val="22"/>
      <w:szCs w:val="22"/>
    </w:rPr>
  </w:style>
  <w:style w:type="paragraph" w:customStyle="1" w:styleId="text">
    <w:name w:val="text"/>
    <w:basedOn w:val="Normln"/>
    <w:link w:val="textChar"/>
    <w:uiPriority w:val="99"/>
    <w:rsid w:val="0038184A"/>
    <w:pPr>
      <w:spacing w:after="40"/>
    </w:pPr>
    <w:rPr>
      <w:sz w:val="22"/>
      <w:szCs w:val="22"/>
    </w:rPr>
  </w:style>
  <w:style w:type="character" w:customStyle="1" w:styleId="textChar">
    <w:name w:val="text Char"/>
    <w:link w:val="text"/>
    <w:uiPriority w:val="99"/>
    <w:rsid w:val="0038184A"/>
    <w:rPr>
      <w:rFonts w:ascii="Arial" w:hAnsi="Arial" w:cs="Arial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72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9760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5F2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2086"/>
    <w:rPr>
      <w:rFonts w:ascii="Arial" w:hAnsi="Arial" w:cs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5F2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086"/>
    <w:rPr>
      <w:rFonts w:ascii="Arial" w:hAnsi="Arial" w:cs="Arial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5C336D"/>
    <w:pPr>
      <w:suppressAutoHyphens/>
      <w:jc w:val="left"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336D"/>
    <w:rPr>
      <w:rFonts w:ascii="Arial" w:hAnsi="Arial" w:cs="Arial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5C336D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73AA3"/>
    <w:pPr>
      <w:suppressAutoHyphens w:val="0"/>
      <w:jc w:val="both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73AA3"/>
    <w:rPr>
      <w:rFonts w:ascii="Arial" w:hAnsi="Arial" w:cs="Arial"/>
      <w:b/>
      <w:bCs/>
      <w:lang w:eastAsia="en-US" w:bidi="ar-SA"/>
    </w:rPr>
  </w:style>
  <w:style w:type="paragraph" w:styleId="Revize">
    <w:name w:val="Revision"/>
    <w:hidden/>
    <w:uiPriority w:val="99"/>
    <w:semiHidden/>
    <w:rsid w:val="00BE5F44"/>
    <w:rPr>
      <w:rFonts w:ascii="Arial" w:hAnsi="Arial" w:cs="Arial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FF0C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0CB8"/>
    <w:rPr>
      <w:rFonts w:ascii="Arial" w:hAnsi="Arial" w:cs="Arial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1879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3 Návrh smlouvy</vt:lpstr>
    </vt:vector>
  </TitlesOfParts>
  <Company>INTERCOM SYSTEMS a.s.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3 Návrh smlouvy</dc:title>
  <dc:creator>sip</dc:creator>
  <cp:lastModifiedBy>Pavel Broum</cp:lastModifiedBy>
  <cp:revision>12</cp:revision>
  <cp:lastPrinted>2013-05-02T08:09:00Z</cp:lastPrinted>
  <dcterms:created xsi:type="dcterms:W3CDTF">2013-05-21T09:52:00Z</dcterms:created>
  <dcterms:modified xsi:type="dcterms:W3CDTF">2013-06-07T10:42:00Z</dcterms:modified>
</cp:coreProperties>
</file>