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D2084" w14:textId="77777777" w:rsidR="006C131A" w:rsidRDefault="00276BDC">
      <w:pPr>
        <w:widowControl w:val="0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Příloha č. 1 zadávací dokumentace</w:t>
      </w:r>
    </w:p>
    <w:p w14:paraId="5DA65EF6" w14:textId="11442871" w:rsidR="006C131A" w:rsidRPr="00A26B5C" w:rsidRDefault="00276BDC" w:rsidP="00A26B5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Theme="minorHAnsi" w:hAnsiTheme="minorHAnsi" w:cstheme="minorHAnsi"/>
        </w:rPr>
      </w:pPr>
      <w:proofErr w:type="gramStart"/>
      <w:r w:rsidRPr="00A26B5C">
        <w:rPr>
          <w:rFonts w:asciiTheme="minorHAnsi" w:hAnsiTheme="minorHAnsi" w:cstheme="minorHAnsi"/>
          <w:sz w:val="24"/>
          <w:szCs w:val="24"/>
        </w:rPr>
        <w:t xml:space="preserve">CESNET - </w:t>
      </w:r>
      <w:r w:rsidRPr="00A26B5C">
        <w:rPr>
          <w:rFonts w:asciiTheme="minorHAnsi" w:hAnsiTheme="minorHAnsi" w:cstheme="minorHAnsi"/>
          <w:sz w:val="24"/>
          <w:szCs w:val="24"/>
        </w:rPr>
        <w:t>Dodávka</w:t>
      </w:r>
      <w:proofErr w:type="gramEnd"/>
      <w:r w:rsidRPr="00A26B5C">
        <w:rPr>
          <w:rFonts w:asciiTheme="minorHAnsi" w:hAnsiTheme="minorHAnsi" w:cstheme="minorHAnsi"/>
          <w:sz w:val="24"/>
          <w:szCs w:val="24"/>
        </w:rPr>
        <w:t xml:space="preserve"> serverů a úložných kapacit pro centrální </w:t>
      </w:r>
      <w:proofErr w:type="spellStart"/>
      <w:r w:rsidRPr="00A26B5C">
        <w:rPr>
          <w:rFonts w:asciiTheme="minorHAnsi" w:hAnsiTheme="minorHAnsi" w:cstheme="minorHAnsi"/>
          <w:sz w:val="24"/>
          <w:szCs w:val="24"/>
        </w:rPr>
        <w:t>logmanagement</w:t>
      </w:r>
      <w:proofErr w:type="spellEnd"/>
      <w:r w:rsidR="00C6635A" w:rsidRPr="00A26B5C">
        <w:rPr>
          <w:rFonts w:asciiTheme="minorHAnsi" w:hAnsiTheme="minorHAnsi" w:cstheme="minorHAnsi"/>
          <w:sz w:val="24"/>
          <w:szCs w:val="24"/>
        </w:rPr>
        <w:t xml:space="preserve"> č. </w:t>
      </w:r>
      <w:r w:rsidRPr="00A26B5C">
        <w:rPr>
          <w:rFonts w:asciiTheme="minorHAnsi" w:hAnsiTheme="minorHAnsi" w:cstheme="minorHAnsi"/>
          <w:sz w:val="24"/>
          <w:szCs w:val="24"/>
        </w:rPr>
        <w:t>1</w:t>
      </w:r>
      <w:r w:rsidR="00C6635A" w:rsidRPr="00A26B5C">
        <w:rPr>
          <w:rFonts w:asciiTheme="minorHAnsi" w:hAnsiTheme="minorHAnsi" w:cstheme="minorHAnsi"/>
          <w:sz w:val="24"/>
          <w:szCs w:val="24"/>
        </w:rPr>
        <w:t> </w:t>
      </w:r>
      <w:r w:rsidRPr="00A26B5C">
        <w:rPr>
          <w:rFonts w:asciiTheme="minorHAnsi" w:hAnsiTheme="minorHAnsi" w:cstheme="minorHAnsi"/>
          <w:sz w:val="24"/>
          <w:szCs w:val="24"/>
        </w:rPr>
        <w:t>(2025)</w:t>
      </w:r>
    </w:p>
    <w:p w14:paraId="2A59D0DD" w14:textId="77777777" w:rsidR="006C131A" w:rsidRDefault="00276BDC">
      <w:pPr>
        <w:widowControl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(projekt „NRP“)</w:t>
      </w:r>
    </w:p>
    <w:p w14:paraId="52AE6D86" w14:textId="77777777" w:rsidR="006C131A" w:rsidRDefault="006C131A">
      <w:pPr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08AC9336" w14:textId="0CE0CE3D" w:rsidR="006C131A" w:rsidRDefault="00276BDC">
      <w:pPr>
        <w:widowControl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Technická specifikace požadovaného plnění</w:t>
      </w:r>
    </w:p>
    <w:p w14:paraId="5F9836D0" w14:textId="77777777" w:rsidR="006C131A" w:rsidRDefault="006C131A">
      <w:pPr>
        <w:widowControl w:val="0"/>
        <w:rPr>
          <w:rFonts w:asciiTheme="minorHAnsi" w:hAnsiTheme="minorHAnsi" w:cstheme="minorHAnsi"/>
          <w:b/>
        </w:rPr>
      </w:pPr>
    </w:p>
    <w:p w14:paraId="6D7BAC3E" w14:textId="77777777" w:rsidR="006C131A" w:rsidRDefault="00276BDC">
      <w:pPr>
        <w:widowControl w:val="0"/>
        <w:pBdr>
          <w:top w:val="single" w:sz="4" w:space="1" w:color="000000"/>
          <w:bottom w:val="single" w:sz="4" w:space="1" w:color="000000"/>
        </w:pBd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U bodů této přílohy, u kterých je v textu červeně vyznačen výslovný požadavek zadavatele na uvedení, zda nabídka dodavatele daný požadavek splňuje (ANO/NE) a/nebo na uvedení dalších informací, dodavatel uvede příslušnou odpověď a přiloží takto okomentovanou přílohu do jeho nabídky. </w:t>
      </w:r>
    </w:p>
    <w:p w14:paraId="3C8BA8D4" w14:textId="1D9B79B5" w:rsidR="006C131A" w:rsidRDefault="00276BDC">
      <w:pPr>
        <w:widowControl w:val="0"/>
        <w:pBdr>
          <w:top w:val="single" w:sz="4" w:space="1" w:color="000000"/>
          <w:bottom w:val="single" w:sz="4" w:space="1" w:color="000000"/>
        </w:pBd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Dodavatel může okomentovat i ostatní body, u kterých není okomentování výslovně požadováno.</w:t>
      </w:r>
    </w:p>
    <w:p w14:paraId="7098DABC" w14:textId="6364E690" w:rsidR="0018330F" w:rsidRDefault="0018330F">
      <w:pPr>
        <w:widowControl w:val="0"/>
        <w:pBdr>
          <w:top w:val="single" w:sz="4" w:space="1" w:color="000000"/>
          <w:bottom w:val="single" w:sz="4" w:space="1" w:color="000000"/>
        </w:pBd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Uvedení odpovědi „NE“ u kteréhokoliv požadavku, popř. zjištění zadavatele, že dodavatel daný požadavek nesplňuje, je důvodem pro vyloučení dodavatele ze zadávacího řízení.</w:t>
      </w:r>
    </w:p>
    <w:p w14:paraId="54D8B2D8" w14:textId="77777777" w:rsidR="006C131A" w:rsidRDefault="00276BDC">
      <w:pPr>
        <w:pStyle w:val="zadavacka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Popis požadovaného systému</w:t>
      </w:r>
    </w:p>
    <w:p w14:paraId="1851DC8B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Předmětem plnění veřejné zakázky je dodávka aplikačních serverů, dalšího potřebného příslušenství a poskytnutí záruky, v souladu s požadavky uvedenými v zadávací dokumentaci. </w:t>
      </w:r>
    </w:p>
    <w:p w14:paraId="17866C55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Zadavatel požaduje nabídku právě (přesně) 5 shodných aplikačních serverů</w:t>
      </w:r>
    </w:p>
    <w:p w14:paraId="1AF6B653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05BD3F89" w14:textId="7777777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Systém bude umístěn pohromadě v rámci ČR</w:t>
      </w:r>
    </w:p>
    <w:p w14:paraId="483B12C8" w14:textId="77777777" w:rsidR="006C131A" w:rsidRDefault="00276BDC">
      <w:pPr>
        <w:pStyle w:val="zadavacka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Obecná ustanovení a definice pojmů</w:t>
      </w:r>
    </w:p>
    <w:p w14:paraId="1D4C5C59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Není-li explicitně určeno jinak, všechny požadavky této zadávací dokumentace (včetně výkonnostních) musí být splněny v jediné provozní konfiguraci, tj. současně. </w:t>
      </w:r>
    </w:p>
    <w:p w14:paraId="157F8612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bookmarkStart w:id="1" w:name="_Ref507402860"/>
      <w:r>
        <w:rPr>
          <w:rFonts w:asciiTheme="minorHAnsi" w:hAnsiTheme="minorHAnsi" w:cstheme="minorHAnsi"/>
        </w:rPr>
        <w:t xml:space="preserve">Není-li požadováno touto technickou dokumentací jinak, všechny dodané komponenty musí být osazeny v systému. Dále musí být </w:t>
      </w:r>
      <w:proofErr w:type="spellStart"/>
      <w:r>
        <w:rPr>
          <w:rFonts w:asciiTheme="minorHAnsi" w:hAnsiTheme="minorHAnsi" w:cstheme="minorHAnsi"/>
        </w:rPr>
        <w:t>zalicencovány</w:t>
      </w:r>
      <w:proofErr w:type="spellEnd"/>
      <w:r>
        <w:rPr>
          <w:rFonts w:asciiTheme="minorHAnsi" w:hAnsiTheme="minorHAnsi" w:cstheme="minorHAnsi"/>
        </w:rPr>
        <w:t>, je-li k jejich provozu nutná nebo požadovaná licence. Není-li explicitně uvedeno jinak, licence pro provoz zařízení nesmí být časově ani kapacitně omezena (tj. zařízení musí být možno provozovat po dobu záruky i po uplynutí záruční doby v plné nabídnuté kapacitě).</w:t>
      </w:r>
      <w:bookmarkEnd w:id="1"/>
    </w:p>
    <w:p w14:paraId="58471BCE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3B02A1AD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není uvedeno jinak, veškeré kapacity jsou uvedeny v dekadických násobcích, tj. 1 TB = 10</w:t>
      </w:r>
      <w:r>
        <w:rPr>
          <w:rFonts w:asciiTheme="minorHAnsi" w:hAnsiTheme="minorHAnsi" w:cstheme="minorHAnsi"/>
          <w:vertAlign w:val="superscript"/>
        </w:rPr>
        <w:t>12 </w:t>
      </w:r>
      <w:r>
        <w:rPr>
          <w:rFonts w:asciiTheme="minorHAnsi" w:hAnsiTheme="minorHAnsi" w:cstheme="minorHAnsi"/>
        </w:rPr>
        <w:t>B, 1 PB = 10</w:t>
      </w:r>
      <w:r>
        <w:rPr>
          <w:rFonts w:asciiTheme="minorHAnsi" w:hAnsiTheme="minorHAnsi" w:cstheme="minorHAnsi"/>
          <w:vertAlign w:val="superscript"/>
        </w:rPr>
        <w:t>15 </w:t>
      </w:r>
      <w:r>
        <w:rPr>
          <w:rFonts w:asciiTheme="minorHAnsi" w:hAnsiTheme="minorHAnsi" w:cstheme="minorHAnsi"/>
        </w:rPr>
        <w:t>B.</w:t>
      </w:r>
    </w:p>
    <w:p w14:paraId="6F013CA4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následujícím textu jsou použity následující zkratky a pojmy:</w:t>
      </w:r>
    </w:p>
    <w:p w14:paraId="1D8054C5" w14:textId="77777777" w:rsidR="006C131A" w:rsidRDefault="00276BDC">
      <w:pPr>
        <w:pStyle w:val="zadavacka3"/>
        <w:numPr>
          <w:ilvl w:val="2"/>
          <w:numId w:val="2"/>
        </w:numPr>
        <w:ind w:left="1418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1GE – 1Gbps </w:t>
      </w:r>
      <w:proofErr w:type="spellStart"/>
      <w:r>
        <w:rPr>
          <w:rFonts w:asciiTheme="minorHAnsi" w:hAnsiTheme="minorHAnsi" w:cstheme="minorHAnsi"/>
        </w:rPr>
        <w:t>Ethernet</w:t>
      </w:r>
      <w:proofErr w:type="spellEnd"/>
    </w:p>
    <w:p w14:paraId="5F40C056" w14:textId="77777777" w:rsidR="006C131A" w:rsidRDefault="00276BDC">
      <w:pPr>
        <w:pStyle w:val="zadavacka3"/>
        <w:numPr>
          <w:ilvl w:val="2"/>
          <w:numId w:val="2"/>
        </w:numPr>
        <w:ind w:left="1418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10GE – 10Gbps </w:t>
      </w:r>
      <w:proofErr w:type="spellStart"/>
      <w:r>
        <w:rPr>
          <w:rFonts w:asciiTheme="minorHAnsi" w:hAnsiTheme="minorHAnsi" w:cstheme="minorHAnsi"/>
        </w:rPr>
        <w:t>Ethernet</w:t>
      </w:r>
      <w:proofErr w:type="spellEnd"/>
    </w:p>
    <w:p w14:paraId="521F9AFA" w14:textId="77777777" w:rsidR="006C131A" w:rsidRDefault="00276BDC">
      <w:pPr>
        <w:pStyle w:val="zadavacka3"/>
        <w:numPr>
          <w:ilvl w:val="2"/>
          <w:numId w:val="2"/>
        </w:numPr>
        <w:ind w:left="1418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25GE – 25Gbps </w:t>
      </w:r>
      <w:proofErr w:type="spellStart"/>
      <w:r>
        <w:rPr>
          <w:rFonts w:asciiTheme="minorHAnsi" w:hAnsiTheme="minorHAnsi" w:cstheme="minorHAnsi"/>
        </w:rPr>
        <w:t>Ethernet</w:t>
      </w:r>
      <w:proofErr w:type="spellEnd"/>
    </w:p>
    <w:p w14:paraId="21894CB4" w14:textId="77777777" w:rsidR="006C131A" w:rsidRDefault="00276BDC">
      <w:pPr>
        <w:pStyle w:val="zadavacka3"/>
        <w:numPr>
          <w:ilvl w:val="2"/>
          <w:numId w:val="2"/>
        </w:numPr>
        <w:ind w:left="1418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40GE – 40Gbps </w:t>
      </w:r>
      <w:proofErr w:type="spellStart"/>
      <w:r>
        <w:rPr>
          <w:rFonts w:asciiTheme="minorHAnsi" w:hAnsiTheme="minorHAnsi" w:cstheme="minorHAnsi"/>
        </w:rPr>
        <w:t>Ethernet</w:t>
      </w:r>
      <w:proofErr w:type="spellEnd"/>
    </w:p>
    <w:p w14:paraId="2B504DBD" w14:textId="77777777" w:rsidR="006C131A" w:rsidRDefault="00276BDC">
      <w:pPr>
        <w:pStyle w:val="zadavacka3"/>
        <w:numPr>
          <w:ilvl w:val="2"/>
          <w:numId w:val="2"/>
        </w:numPr>
        <w:ind w:left="1418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100GE – 100Gbps </w:t>
      </w:r>
      <w:proofErr w:type="spellStart"/>
      <w:r>
        <w:rPr>
          <w:rFonts w:asciiTheme="minorHAnsi" w:hAnsiTheme="minorHAnsi" w:cstheme="minorHAnsi"/>
        </w:rPr>
        <w:t>Ethernet</w:t>
      </w:r>
      <w:proofErr w:type="spellEnd"/>
    </w:p>
    <w:p w14:paraId="42C315EA" w14:textId="77777777" w:rsidR="006C131A" w:rsidRDefault="00276BDC">
      <w:pPr>
        <w:pStyle w:val="zadavacka3"/>
        <w:numPr>
          <w:ilvl w:val="2"/>
          <w:numId w:val="2"/>
        </w:numPr>
        <w:ind w:left="1418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DWPD – Drive </w:t>
      </w:r>
      <w:proofErr w:type="spellStart"/>
      <w:r>
        <w:rPr>
          <w:rFonts w:asciiTheme="minorHAnsi" w:hAnsiTheme="minorHAnsi" w:cstheme="minorHAnsi"/>
        </w:rPr>
        <w:t>Writes</w:t>
      </w:r>
      <w:proofErr w:type="spellEnd"/>
      <w:r>
        <w:rPr>
          <w:rFonts w:asciiTheme="minorHAnsi" w:hAnsiTheme="minorHAnsi" w:cstheme="minorHAnsi"/>
        </w:rPr>
        <w:t xml:space="preserve"> Per </w:t>
      </w:r>
      <w:proofErr w:type="spellStart"/>
      <w:r>
        <w:rPr>
          <w:rFonts w:asciiTheme="minorHAnsi" w:hAnsiTheme="minorHAnsi" w:cstheme="minorHAnsi"/>
        </w:rPr>
        <w:t>Day</w:t>
      </w:r>
      <w:proofErr w:type="spellEnd"/>
      <w:r>
        <w:rPr>
          <w:rFonts w:asciiTheme="minorHAnsi" w:hAnsiTheme="minorHAnsi" w:cstheme="minorHAnsi"/>
        </w:rPr>
        <w:t xml:space="preserve"> (kalkulováno pro životnost disku odpovídající požadované záruce). Pokud se uvádí ekvivalentní vyjádření TBW (</w:t>
      </w:r>
      <w:proofErr w:type="spellStart"/>
      <w:r>
        <w:rPr>
          <w:rFonts w:asciiTheme="minorHAnsi" w:hAnsiTheme="minorHAnsi" w:cstheme="minorHAnsi"/>
        </w:rPr>
        <w:t>Terabytes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Written</w:t>
      </w:r>
      <w:proofErr w:type="spellEnd"/>
      <w:r>
        <w:rPr>
          <w:rFonts w:asciiTheme="minorHAnsi" w:hAnsiTheme="minorHAnsi" w:cstheme="minorHAnsi"/>
        </w:rPr>
        <w:t>), pak je přepočet TBW = DWPD * 5 let záruky * 365 * kapacita disku v TB. Zadavatel nepředepisuje hodnoty DWPD disků, deklaruje očekávanou zátěž disků. Dodavatel nesmí v průběhu plnění zakázky odmítnout výměnu disku z důvodu nadměrného zápisu dat, vyjma případů, kdy by disk prokazatelně překročil zápisy odpovídající deklarované očekávané zátěži.</w:t>
      </w:r>
      <w:r>
        <w:rPr>
          <w:rStyle w:val="Znakapoznpodarou"/>
          <w:rFonts w:asciiTheme="minorHAnsi" w:hAnsiTheme="minorHAnsi" w:cstheme="minorHAnsi"/>
        </w:rPr>
        <w:footnoteReference w:id="1"/>
      </w:r>
    </w:p>
    <w:p w14:paraId="53C7CCED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vyloučení pochybností zadavatel uvádí, že ke změnám technické specifikace deklarovaných parametrů libovolného nabízeného zařízení (např. aktualizace datového </w:t>
      </w:r>
      <w:r>
        <w:rPr>
          <w:rFonts w:asciiTheme="minorHAnsi" w:hAnsiTheme="minorHAnsi" w:cstheme="minorHAnsi"/>
        </w:rPr>
        <w:lastRenderedPageBreak/>
        <w:t>listu výrobcem zařízení), které nastanou po skončení lhůty pro podání nabídek, se nepřihlíží. Plnění zakázky se řídí parametry nabídky a požadavky zadávací dokumentace.</w:t>
      </w:r>
    </w:p>
    <w:p w14:paraId="330D6F73" w14:textId="77777777" w:rsidR="006C131A" w:rsidRDefault="00276BDC">
      <w:pPr>
        <w:pStyle w:val="zadavacka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funkce</w:t>
      </w:r>
    </w:p>
    <w:p w14:paraId="25794FF8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Systém bude provozován jako dostupný po síti.</w:t>
      </w:r>
    </w:p>
    <w:p w14:paraId="39FD919F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Zadavatel požaduje plný administrátorský přístup na všechny dodané komponenty.</w:t>
      </w:r>
    </w:p>
    <w:p w14:paraId="4FC840E6" w14:textId="77777777" w:rsidR="006C131A" w:rsidRDefault="00276BDC">
      <w:pPr>
        <w:pStyle w:val="zadavacka2"/>
        <w:numPr>
          <w:ilvl w:val="1"/>
          <w:numId w:val="2"/>
        </w:numPr>
        <w:ind w:left="567" w:hanging="567"/>
      </w:pPr>
      <w:r>
        <w:rPr>
          <w:rFonts w:asciiTheme="minorHAnsi" w:hAnsiTheme="minorHAnsi" w:cstheme="minorHAnsi"/>
        </w:rPr>
        <w:t xml:space="preserve">Všechny komponenty, které jsou touto technickou specifikací požadovány, musí být plně kompatibilní s technologií </w:t>
      </w:r>
      <w:proofErr w:type="spellStart"/>
      <w:r>
        <w:rPr>
          <w:rFonts w:asciiTheme="minorHAnsi" w:hAnsiTheme="minorHAnsi" w:cstheme="minorHAnsi"/>
        </w:rPr>
        <w:t>Kubernetes</w:t>
      </w:r>
      <w:proofErr w:type="spellEnd"/>
      <w:r>
        <w:rPr>
          <w:rFonts w:asciiTheme="minorHAnsi" w:hAnsiTheme="minorHAnsi" w:cstheme="minorHAnsi"/>
        </w:rPr>
        <w:t xml:space="preserve"> verze 1.29 a vyšší, </w:t>
      </w:r>
      <w:proofErr w:type="spellStart"/>
      <w:r>
        <w:rPr>
          <w:rFonts w:asciiTheme="minorHAnsi" w:hAnsiTheme="minorHAnsi" w:cstheme="minorHAnsi"/>
        </w:rPr>
        <w:t>Ceph</w:t>
      </w:r>
      <w:proofErr w:type="spellEnd"/>
      <w:r>
        <w:rPr>
          <w:rFonts w:asciiTheme="minorHAnsi" w:hAnsiTheme="minorHAnsi" w:cstheme="minorHAnsi"/>
        </w:rPr>
        <w:t xml:space="preserve"> verze </w:t>
      </w:r>
      <w:proofErr w:type="spellStart"/>
      <w:r>
        <w:rPr>
          <w:rFonts w:asciiTheme="minorHAnsi" w:hAnsiTheme="minorHAnsi" w:cstheme="minorHAnsi"/>
        </w:rPr>
        <w:t>Reef</w:t>
      </w:r>
      <w:proofErr w:type="spellEnd"/>
      <w:r>
        <w:rPr>
          <w:rFonts w:asciiTheme="minorHAnsi" w:hAnsiTheme="minorHAnsi" w:cstheme="minorHAnsi"/>
        </w:rPr>
        <w:t xml:space="preserve"> a vyšší, a </w:t>
      </w:r>
      <w:proofErr w:type="spellStart"/>
      <w:r>
        <w:rPr>
          <w:rFonts w:asciiTheme="minorHAnsi" w:hAnsiTheme="minorHAnsi" w:cstheme="minorHAnsi"/>
        </w:rPr>
        <w:t>Proxmox</w:t>
      </w:r>
      <w:proofErr w:type="spellEnd"/>
      <w:r>
        <w:rPr>
          <w:rFonts w:asciiTheme="minorHAnsi" w:hAnsiTheme="minorHAnsi" w:cstheme="minorHAnsi"/>
        </w:rPr>
        <w:t>.</w:t>
      </w:r>
    </w:p>
    <w:p w14:paraId="506EA3FA" w14:textId="77777777" w:rsidR="006C131A" w:rsidRDefault="00276BDC">
      <w:pPr>
        <w:pStyle w:val="zadavacka2"/>
        <w:numPr>
          <w:ilvl w:val="0"/>
          <w:numId w:val="0"/>
        </w:numPr>
        <w:ind w:left="567"/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3F95814A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Systém musí být schopen zpracovávat plnou provozní zátěž po celou dobu záruky.</w:t>
      </w:r>
    </w:p>
    <w:p w14:paraId="658DDB0F" w14:textId="77777777" w:rsidR="006C131A" w:rsidRDefault="00276BDC">
      <w:pPr>
        <w:pStyle w:val="zadavacka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Servery</w:t>
      </w:r>
    </w:p>
    <w:p w14:paraId="0E19ACDD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Server je výpočetní jednotka se samostatnou pamětí, </w:t>
      </w:r>
      <w:proofErr w:type="spellStart"/>
      <w:r>
        <w:rPr>
          <w:rFonts w:asciiTheme="minorHAnsi" w:hAnsiTheme="minorHAnsi" w:cstheme="minorHAnsi"/>
        </w:rPr>
        <w:t>chipsetem</w:t>
      </w:r>
      <w:proofErr w:type="spellEnd"/>
      <w:r>
        <w:rPr>
          <w:rFonts w:asciiTheme="minorHAnsi" w:hAnsiTheme="minorHAnsi" w:cstheme="minorHAnsi"/>
        </w:rPr>
        <w:t xml:space="preserve">, procesory, diskem, síťovými kartami, ..., a dalšími vstupně-výstupními jednotkami bez ohledu na fyzické provedení (např. </w:t>
      </w:r>
      <w:proofErr w:type="spellStart"/>
      <w:r>
        <w:rPr>
          <w:rFonts w:asciiTheme="minorHAnsi" w:hAnsiTheme="minorHAnsi" w:cstheme="minorHAnsi"/>
        </w:rPr>
        <w:t>twin</w:t>
      </w:r>
      <w:proofErr w:type="spellEnd"/>
      <w:r>
        <w:rPr>
          <w:rFonts w:asciiTheme="minorHAnsi" w:hAnsiTheme="minorHAnsi" w:cstheme="minorHAnsi"/>
        </w:rPr>
        <w:t xml:space="preserve"> provedení je považováno za dva samostatné servery ve společném fyzickém chassis).</w:t>
      </w:r>
    </w:p>
    <w:p w14:paraId="0A0948AB" w14:textId="69043572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Všechny komponenty serverů, které jsou touto technickou specifikací požadovány, musí být po celou dobu záruky plně provozuschopné v prostředí operačního systému Linux (zejména, ale nikoliv výhradně, 64bit </w:t>
      </w:r>
      <w:proofErr w:type="spellStart"/>
      <w:r>
        <w:rPr>
          <w:rFonts w:asciiTheme="minorHAnsi" w:hAnsiTheme="minorHAnsi" w:cstheme="minorHAnsi"/>
        </w:rPr>
        <w:t>Debian</w:t>
      </w:r>
      <w:proofErr w:type="spellEnd"/>
      <w:r>
        <w:rPr>
          <w:rFonts w:asciiTheme="minorHAnsi" w:hAnsiTheme="minorHAnsi" w:cstheme="minorHAnsi"/>
        </w:rPr>
        <w:t xml:space="preserve"> 12 a budoucí), tj. musí být podporovány distribučním nebo originálním jádrem nebo s využitím externích ovladačů.</w:t>
      </w:r>
    </w:p>
    <w:p w14:paraId="21358C4F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1E54716B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Servery musí mít redundantní napájení a chlazení. Zdroje musí být vyměnitelné za chodu.</w:t>
      </w:r>
    </w:p>
    <w:p w14:paraId="288FCA9F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2F5D0ACF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Všechna datová (ne management porty) síťová </w:t>
      </w:r>
      <w:proofErr w:type="spellStart"/>
      <w:r>
        <w:rPr>
          <w:rFonts w:asciiTheme="minorHAnsi" w:hAnsiTheme="minorHAnsi" w:cstheme="minorHAnsi"/>
        </w:rPr>
        <w:t>Ethernet</w:t>
      </w:r>
      <w:proofErr w:type="spellEnd"/>
      <w:r>
        <w:rPr>
          <w:rFonts w:asciiTheme="minorHAnsi" w:hAnsiTheme="minorHAnsi" w:cstheme="minorHAnsi"/>
        </w:rPr>
        <w:t xml:space="preserve"> rozhraní serverů musí podporovat jumbo rámce (alespoň 9000 bytů). Datová síťová </w:t>
      </w:r>
      <w:proofErr w:type="spellStart"/>
      <w:r>
        <w:rPr>
          <w:rFonts w:asciiTheme="minorHAnsi" w:hAnsiTheme="minorHAnsi" w:cstheme="minorHAnsi"/>
        </w:rPr>
        <w:t>Ethernet</w:t>
      </w:r>
      <w:proofErr w:type="spellEnd"/>
      <w:r>
        <w:rPr>
          <w:rFonts w:asciiTheme="minorHAnsi" w:hAnsiTheme="minorHAnsi" w:cstheme="minorHAnsi"/>
        </w:rPr>
        <w:t xml:space="preserve"> rozhraní jsou vyhrazena pouze pro síťovou komunikaci a nesmí být použita k zajištění jiné funkcionality (např. připojení diskových expanzí).</w:t>
      </w:r>
    </w:p>
    <w:p w14:paraId="1F7460E5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4EB605C9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Server musí umožňovat centralizovaný přístup ke konzoli (klávesnice + monitor) v textovém i grafickém režimu a zároveň musí podporovat </w:t>
      </w:r>
      <w:proofErr w:type="spellStart"/>
      <w:r>
        <w:rPr>
          <w:rFonts w:asciiTheme="minorHAnsi" w:hAnsiTheme="minorHAnsi" w:cstheme="minorHAnsi"/>
        </w:rPr>
        <w:t>bootování</w:t>
      </w:r>
      <w:proofErr w:type="spellEnd"/>
      <w:r>
        <w:rPr>
          <w:rFonts w:asciiTheme="minorHAnsi" w:hAnsiTheme="minorHAnsi" w:cstheme="minorHAnsi"/>
        </w:rPr>
        <w:t xml:space="preserve"> z externího zařízení. Externím zařízením se rozumí jak lokální (KVM </w:t>
      </w:r>
      <w:proofErr w:type="spellStart"/>
      <w:r>
        <w:rPr>
          <w:rFonts w:asciiTheme="minorHAnsi" w:hAnsiTheme="minorHAnsi" w:cstheme="minorHAnsi"/>
        </w:rPr>
        <w:t>switch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boot</w:t>
      </w:r>
      <w:proofErr w:type="spellEnd"/>
      <w:r>
        <w:rPr>
          <w:rFonts w:asciiTheme="minorHAnsi" w:hAnsiTheme="minorHAnsi" w:cstheme="minorHAnsi"/>
        </w:rPr>
        <w:t xml:space="preserve"> z USB – CD-ROM, </w:t>
      </w:r>
      <w:proofErr w:type="spellStart"/>
      <w:r>
        <w:rPr>
          <w:rFonts w:asciiTheme="minorHAnsi" w:hAnsiTheme="minorHAnsi" w:cstheme="minorHAnsi"/>
        </w:rPr>
        <w:t>flash</w:t>
      </w:r>
      <w:proofErr w:type="spellEnd"/>
      <w:r>
        <w:rPr>
          <w:rFonts w:asciiTheme="minorHAnsi" w:hAnsiTheme="minorHAnsi" w:cstheme="minorHAnsi"/>
        </w:rPr>
        <w:t xml:space="preserve"> disk, harddisk), tak síťové (síťový KVM nebo BMC, </w:t>
      </w:r>
      <w:proofErr w:type="spellStart"/>
      <w:r>
        <w:rPr>
          <w:rFonts w:asciiTheme="minorHAnsi" w:hAnsiTheme="minorHAnsi" w:cstheme="minorHAnsi"/>
        </w:rPr>
        <w:t>boot</w:t>
      </w:r>
      <w:proofErr w:type="spellEnd"/>
      <w:r>
        <w:rPr>
          <w:rFonts w:asciiTheme="minorHAnsi" w:hAnsiTheme="minorHAnsi" w:cstheme="minorHAnsi"/>
        </w:rPr>
        <w:t xml:space="preserve"> z virtuálního média). </w:t>
      </w:r>
    </w:p>
    <w:p w14:paraId="3808CCA2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449F29CF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Servery musí umožňovat změnu pořadí </w:t>
      </w:r>
      <w:proofErr w:type="spellStart"/>
      <w:r>
        <w:rPr>
          <w:rFonts w:asciiTheme="minorHAnsi" w:hAnsiTheme="minorHAnsi" w:cstheme="minorHAnsi"/>
        </w:rPr>
        <w:t>bootovacích</w:t>
      </w:r>
      <w:proofErr w:type="spellEnd"/>
      <w:r>
        <w:rPr>
          <w:rFonts w:asciiTheme="minorHAnsi" w:hAnsiTheme="minorHAnsi" w:cstheme="minorHAnsi"/>
        </w:rPr>
        <w:t xml:space="preserve"> zařízení.</w:t>
      </w:r>
    </w:p>
    <w:p w14:paraId="2913C491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7668A465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bookmarkStart w:id="2" w:name="_Ref507402863"/>
      <w:r>
        <w:rPr>
          <w:rFonts w:asciiTheme="minorHAnsi" w:hAnsiTheme="minorHAnsi" w:cstheme="minorHAnsi"/>
        </w:rPr>
        <w:t xml:space="preserve">Servery musí obsahovat management </w:t>
      </w:r>
      <w:proofErr w:type="spellStart"/>
      <w:r>
        <w:rPr>
          <w:rFonts w:asciiTheme="minorHAnsi" w:hAnsiTheme="minorHAnsi" w:cstheme="minorHAnsi"/>
        </w:rPr>
        <w:t>controller</w:t>
      </w:r>
      <w:proofErr w:type="spellEnd"/>
      <w:r>
        <w:rPr>
          <w:rFonts w:asciiTheme="minorHAnsi" w:hAnsiTheme="minorHAnsi" w:cstheme="minorHAnsi"/>
        </w:rPr>
        <w:t xml:space="preserve"> (BMC) kompatibilní se specifikací </w:t>
      </w:r>
      <w:proofErr w:type="spellStart"/>
      <w:r>
        <w:rPr>
          <w:rFonts w:asciiTheme="minorHAnsi" w:hAnsiTheme="minorHAnsi" w:cstheme="minorHAnsi"/>
        </w:rPr>
        <w:t>Redfish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a nebo</w:t>
      </w:r>
      <w:proofErr w:type="gramEnd"/>
      <w:r>
        <w:rPr>
          <w:rFonts w:asciiTheme="minorHAnsi" w:hAnsiTheme="minorHAnsi" w:cstheme="minorHAnsi"/>
        </w:rPr>
        <w:t xml:space="preserve"> IPMI 2.0 nebo vyšší. BMC musí umět monitorovat minimálně funkčnost ventilátorů, teplotu CPU a základní desky; dále musí BMC poskytovat základní vzdálený </w:t>
      </w:r>
      <w:proofErr w:type="spellStart"/>
      <w:r>
        <w:rPr>
          <w:rFonts w:asciiTheme="minorHAnsi" w:hAnsiTheme="minorHAnsi" w:cstheme="minorHAnsi"/>
        </w:rPr>
        <w:t>power</w:t>
      </w:r>
      <w:proofErr w:type="spellEnd"/>
      <w:r>
        <w:rPr>
          <w:rFonts w:asciiTheme="minorHAnsi" w:hAnsiTheme="minorHAnsi" w:cstheme="minorHAnsi"/>
        </w:rPr>
        <w:t xml:space="preserve"> management (vypnout, zapnout, reset) a vzdálený přístup do BIOS/UEFI. Požadujeme možnost změny </w:t>
      </w:r>
      <w:proofErr w:type="spellStart"/>
      <w:r>
        <w:rPr>
          <w:rFonts w:asciiTheme="minorHAnsi" w:hAnsiTheme="minorHAnsi" w:cstheme="minorHAnsi"/>
        </w:rPr>
        <w:t>bootovacího</w:t>
      </w:r>
      <w:proofErr w:type="spellEnd"/>
      <w:r>
        <w:rPr>
          <w:rFonts w:asciiTheme="minorHAnsi" w:hAnsiTheme="minorHAnsi" w:cstheme="minorHAnsi"/>
        </w:rPr>
        <w:t xml:space="preserve"> zařízení vzdáleně pomocí BMC nebo KVM.</w:t>
      </w:r>
      <w:bookmarkEnd w:id="2"/>
    </w:p>
    <w:p w14:paraId="2777BFF6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380C1137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Funkcionalita IPMI musí být přístupná z příkazové řádky běžící na vzdáleném linuxovém systému připojeném k BMC přes LAN.</w:t>
      </w:r>
    </w:p>
    <w:p w14:paraId="41FD4472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2C379E9C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bookmarkStart w:id="3" w:name="_Ref507402864"/>
      <w:r>
        <w:rPr>
          <w:rFonts w:asciiTheme="minorHAnsi" w:hAnsiTheme="minorHAnsi" w:cstheme="minorHAnsi"/>
        </w:rPr>
        <w:t xml:space="preserve">BMC/IPMI </w:t>
      </w:r>
      <w:proofErr w:type="spellStart"/>
      <w:r>
        <w:rPr>
          <w:rFonts w:asciiTheme="minorHAnsi" w:hAnsiTheme="minorHAnsi" w:cstheme="minorHAnsi"/>
        </w:rPr>
        <w:t>kontrolery</w:t>
      </w:r>
      <w:proofErr w:type="spellEnd"/>
      <w:r>
        <w:rPr>
          <w:rFonts w:asciiTheme="minorHAnsi" w:hAnsiTheme="minorHAnsi" w:cstheme="minorHAnsi"/>
        </w:rPr>
        <w:t xml:space="preserve"> serverů musí být připojeny samostatným kabelem, není možné sdílet fyzické porty s datovými rozhraními serverů.</w:t>
      </w:r>
      <w:bookmarkEnd w:id="3"/>
    </w:p>
    <w:p w14:paraId="6CCC8E4D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7E7C12AF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Pokud je na serverech nutné provozovat jakýkoli komerční software, musí být všechny nutné licence pro všechny servery součástí dodávky (například operační systém).</w:t>
      </w:r>
    </w:p>
    <w:p w14:paraId="78E5C75F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221E74D6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a jaké licence komerčního softwaru jsou k provozu třeba a zda jsou součástí dodávky:</w:t>
      </w:r>
    </w:p>
    <w:p w14:paraId="0574E9D2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Všechny disky musí být dodavatelem označeny štítky tak, aby je mohl při servisních zásazích jednoznačně identifikovat na základě sériového čísla bez potřeby disky vytahovat a zjišťovat jejich SN (a to i v případě, kdy pro závadu na elektronice nebude možno disk identifikovat signální LED).</w:t>
      </w:r>
    </w:p>
    <w:p w14:paraId="713AD9FA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79C950F7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Všechny disky musí být vyměnitelné za chodu. Výměna jednoho disku nesmí vést k dočasné nedostupnosti jiných disků nebo serveru samotného.</w:t>
      </w:r>
    </w:p>
    <w:p w14:paraId="3B340B64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56A5D850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Všechny disky musí být presentovány operačnímu systému jako jednotlivá bloková zařízení, přitom musí podporovat vyčtení provozních stavů a statistik pomocí standardu SMART.</w:t>
      </w:r>
    </w:p>
    <w:p w14:paraId="33685EDD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460C0A0B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="Arial" w:hAnsi="Arial" w:cstheme="minorHAnsi"/>
        </w:rPr>
      </w:pPr>
      <w:r>
        <w:rPr>
          <w:rFonts w:ascii="Arial" w:hAnsi="Arial" w:cstheme="minorHAnsi"/>
        </w:rPr>
        <w:t xml:space="preserve">U všech disků musí být zajištěno jejich dostatečné chlazení umožňující jejich trvalý provoz pod plnou zátěží. </w:t>
      </w:r>
      <w:r>
        <w:rPr>
          <w:rFonts w:asciiTheme="minorHAnsi" w:hAnsiTheme="minorHAnsi" w:cstheme="minorHAnsi"/>
        </w:rPr>
        <w:t xml:space="preserve">Disky (zejm. </w:t>
      </w:r>
      <w:proofErr w:type="spellStart"/>
      <w:r>
        <w:rPr>
          <w:rFonts w:asciiTheme="minorHAnsi" w:hAnsiTheme="minorHAnsi" w:cstheme="minorHAnsi"/>
        </w:rPr>
        <w:t>NVMe</w:t>
      </w:r>
      <w:proofErr w:type="spellEnd"/>
      <w:r>
        <w:rPr>
          <w:rFonts w:asciiTheme="minorHAnsi" w:hAnsiTheme="minorHAnsi" w:cstheme="minorHAnsi"/>
        </w:rPr>
        <w:t>) mohou být osazeny chladiči, pokud to dodavatel považuje za nezbytné pro dosažení stabilního provozu.</w:t>
      </w:r>
    </w:p>
    <w:p w14:paraId="56EA25F5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6FBEF94C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="Arial" w:hAnsi="Arial" w:cstheme="minorHAnsi"/>
        </w:rPr>
        <w:t xml:space="preserve">Připouští se použití systémových SSD disků s rozhraním SATA nebo </w:t>
      </w:r>
      <w:proofErr w:type="spellStart"/>
      <w:r>
        <w:rPr>
          <w:rFonts w:ascii="Arial" w:hAnsi="Arial" w:cstheme="minorHAnsi"/>
        </w:rPr>
        <w:t>NVMe</w:t>
      </w:r>
      <w:proofErr w:type="spellEnd"/>
      <w:r>
        <w:rPr>
          <w:rFonts w:ascii="Arial" w:hAnsi="Arial" w:cstheme="minorHAnsi"/>
        </w:rPr>
        <w:t>.</w:t>
      </w:r>
    </w:p>
    <w:p w14:paraId="0C6EDBE3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13F64FEF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Všechny disky musí být typu </w:t>
      </w:r>
      <w:proofErr w:type="spellStart"/>
      <w:r>
        <w:rPr>
          <w:rFonts w:asciiTheme="minorHAnsi" w:hAnsiTheme="minorHAnsi" w:cstheme="minorHAnsi"/>
        </w:rPr>
        <w:t>enterprise</w:t>
      </w:r>
      <w:proofErr w:type="spellEnd"/>
      <w:r>
        <w:rPr>
          <w:rFonts w:asciiTheme="minorHAnsi" w:hAnsiTheme="minorHAnsi" w:cstheme="minorHAnsi"/>
        </w:rPr>
        <w:t>, tedy určené pro použití v serverech nebo diskových polích a navržené pro nepřetržitý provoz.</w:t>
      </w:r>
    </w:p>
    <w:p w14:paraId="6B654DB4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2862CFFA" w14:textId="7777777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="Arial" w:hAnsi="Arial" w:cs="Arial"/>
          <w:color w:val="FF0000"/>
        </w:rPr>
      </w:pPr>
      <w:r>
        <w:rPr>
          <w:rFonts w:ascii="Arial" w:hAnsi="Arial" w:cstheme="minorHAnsi"/>
        </w:rPr>
        <w:t xml:space="preserve">Všechny osazené </w:t>
      </w:r>
      <w:proofErr w:type="spellStart"/>
      <w:r>
        <w:rPr>
          <w:rFonts w:ascii="Arial" w:hAnsi="Arial" w:cstheme="minorHAnsi"/>
        </w:rPr>
        <w:t>NVMe</w:t>
      </w:r>
      <w:proofErr w:type="spellEnd"/>
      <w:r>
        <w:rPr>
          <w:rFonts w:ascii="Arial" w:hAnsi="Arial" w:cstheme="minorHAnsi"/>
        </w:rPr>
        <w:t xml:space="preserve"> disky musí být vybaveny technologií PLP (</w:t>
      </w:r>
      <w:proofErr w:type="spellStart"/>
      <w:r>
        <w:rPr>
          <w:rFonts w:ascii="Arial" w:hAnsi="Arial" w:cstheme="minorHAnsi"/>
        </w:rPr>
        <w:t>Power</w:t>
      </w:r>
      <w:proofErr w:type="spellEnd"/>
      <w:r>
        <w:rPr>
          <w:rFonts w:ascii="Arial" w:hAnsi="Arial" w:cstheme="minorHAnsi"/>
        </w:rPr>
        <w:t xml:space="preserve"> </w:t>
      </w:r>
      <w:proofErr w:type="spellStart"/>
      <w:r>
        <w:rPr>
          <w:rFonts w:ascii="Arial" w:hAnsi="Arial" w:cstheme="minorHAnsi"/>
        </w:rPr>
        <w:t>Loss</w:t>
      </w:r>
      <w:proofErr w:type="spellEnd"/>
      <w:r>
        <w:rPr>
          <w:rFonts w:ascii="Arial" w:hAnsi="Arial" w:cstheme="minorHAnsi"/>
        </w:rPr>
        <w:t xml:space="preserve"> </w:t>
      </w:r>
      <w:proofErr w:type="spellStart"/>
      <w:r>
        <w:rPr>
          <w:rFonts w:ascii="Arial" w:hAnsi="Arial" w:cstheme="minorHAnsi"/>
        </w:rPr>
        <w:t>Protection</w:t>
      </w:r>
      <w:proofErr w:type="spellEnd"/>
      <w:r>
        <w:rPr>
          <w:rFonts w:ascii="Arial" w:hAnsi="Arial" w:cstheme="minorHAnsi"/>
        </w:rPr>
        <w:t>).</w:t>
      </w:r>
      <w:r>
        <w:rPr>
          <w:rFonts w:ascii="Arial" w:hAnsi="Arial" w:cstheme="minorHAnsi"/>
        </w:rPr>
        <w:br/>
      </w:r>
      <w:r>
        <w:rPr>
          <w:rFonts w:ascii="Arial" w:hAnsi="Arial" w:cs="Arial"/>
          <w:color w:val="FF0000"/>
        </w:rPr>
        <w:t>Uveďte, zda nabídka splňuje požadavek [ANO/NE]:</w:t>
      </w:r>
    </w:p>
    <w:p w14:paraId="71D17EB6" w14:textId="7777777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Osazení více serverů do společného chassis (např. dvou serverů v jedné 1U jednotce se společnými redundantními zdroji a podobně) je při zachování požadavků na redundanci přípustné. Maximální počet pozic zabraných v racku všemi servery dodávky je 10U.</w:t>
      </w:r>
      <w:r>
        <w:rPr>
          <w:rFonts w:asciiTheme="minorHAnsi" w:hAnsiTheme="minorHAnsi" w:cstheme="minorHAnsi"/>
        </w:rPr>
        <w:br/>
      </w:r>
      <w:r>
        <w:rPr>
          <w:rFonts w:ascii="Arial" w:hAnsi="Arial" w:cs="Arial"/>
          <w:color w:val="FF0000"/>
        </w:rPr>
        <w:t>Uveďte, zda nabídka splňuje požadavek [ANO/NE]:</w:t>
      </w:r>
    </w:p>
    <w:p w14:paraId="0CF7049B" w14:textId="7777777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>
        <w:rPr>
          <w:rFonts w:ascii="Arial" w:hAnsi="Arial" w:cstheme="minorHAnsi"/>
        </w:rPr>
        <w:t>Ventilátory musí být vyměnitelné za chodu.</w:t>
      </w:r>
    </w:p>
    <w:p w14:paraId="7B7864C7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54BF2884" w14:textId="7777777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Všechny servery musí být dodavatelem v </w:t>
      </w:r>
      <w:proofErr w:type="spellStart"/>
      <w:r>
        <w:rPr>
          <w:rFonts w:asciiTheme="minorHAnsi" w:hAnsiTheme="minorHAnsi" w:cstheme="minorHAnsi"/>
        </w:rPr>
        <w:t>BIOSu</w:t>
      </w:r>
      <w:proofErr w:type="spellEnd"/>
      <w:r>
        <w:rPr>
          <w:rFonts w:asciiTheme="minorHAnsi" w:hAnsiTheme="minorHAnsi" w:cstheme="minorHAnsi"/>
        </w:rPr>
        <w:t xml:space="preserve"> nastaveny na výkon splňující technické zadání (např. vhodná NUMA topologie pro daný procesor). Všechny servery musí mít nastaveno prioritní </w:t>
      </w:r>
      <w:proofErr w:type="spellStart"/>
      <w:r>
        <w:rPr>
          <w:rFonts w:asciiTheme="minorHAnsi" w:hAnsiTheme="minorHAnsi" w:cstheme="minorHAnsi"/>
        </w:rPr>
        <w:t>bootování</w:t>
      </w:r>
      <w:proofErr w:type="spellEnd"/>
      <w:r>
        <w:rPr>
          <w:rFonts w:asciiTheme="minorHAnsi" w:hAnsiTheme="minorHAnsi" w:cstheme="minorHAnsi"/>
        </w:rPr>
        <w:t xml:space="preserve"> z disků, kam byl nainstalován operační systém. Všechny servery musí mít zapnutou sériovou konzoli přes IPMI přes síť (IPMI LAN). BIOS všech uzlů musí být nastaven stejně.</w:t>
      </w:r>
    </w:p>
    <w:p w14:paraId="44824477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54897461" w14:textId="7777777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Všechny servery musí být stejného typu, tj. zejména osazeny stejnou základní deskou, procesory, pamětmi, disky každého dále popsaného jednotlivého typu, síťovými kartami, a to ve stejných počtech komponent. Veškeré požadavky na aplikační servery včetně výkonnostních musí být splněny každým aplikačním serverem. </w:t>
      </w:r>
    </w:p>
    <w:p w14:paraId="38427D56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  <w:b/>
          <w:bCs/>
          <w:color w:val="FF0000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69CF2CBF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Cs/>
          <w:color w:val="FF0000"/>
        </w:rPr>
        <w:t>Uveďte výrobce a typové označení nabízených aplikačních serverů, jejich základní konfiguraci, a dále počet nabízených kusů.</w:t>
      </w:r>
      <w:r>
        <w:rPr>
          <w:rFonts w:asciiTheme="minorHAnsi" w:hAnsiTheme="minorHAnsi" w:cstheme="minorHAnsi"/>
          <w:color w:val="FF0000"/>
        </w:rPr>
        <w:t xml:space="preserve"> </w:t>
      </w:r>
    </w:p>
    <w:p w14:paraId="4BF499CA" w14:textId="7777777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Každý server musí mít přesně dva identické procesory se sdílenou pamětí v architektuře x86_64.</w:t>
      </w:r>
    </w:p>
    <w:p w14:paraId="01BCC4A3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lastRenderedPageBreak/>
        <w:t>Uveďte, zda nabídka splňuje požadavek [ANO/NE]:</w:t>
      </w:r>
    </w:p>
    <w:p w14:paraId="41D0440F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 specifikaci procesoru:</w:t>
      </w:r>
    </w:p>
    <w:p w14:paraId="6DCFB8AF" w14:textId="7777777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Server musí mít celkově alespoň 32 fyzických jader (nezapočítávají se virtuální jádra </w:t>
      </w:r>
      <w:proofErr w:type="spellStart"/>
      <w:r>
        <w:rPr>
          <w:rFonts w:asciiTheme="minorHAnsi" w:hAnsiTheme="minorHAnsi" w:cstheme="minorHAnsi"/>
        </w:rPr>
        <w:t>hyperthreadingu</w:t>
      </w:r>
      <w:proofErr w:type="spellEnd"/>
      <w:r>
        <w:rPr>
          <w:rFonts w:asciiTheme="minorHAnsi" w:hAnsiTheme="minorHAnsi" w:cstheme="minorHAnsi"/>
        </w:rPr>
        <w:t>).</w:t>
      </w:r>
    </w:p>
    <w:p w14:paraId="54ECFC1F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2291167E" w14:textId="7777777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Každý procesor musí podporovat technologii </w:t>
      </w:r>
      <w:proofErr w:type="spellStart"/>
      <w:r>
        <w:rPr>
          <w:rFonts w:asciiTheme="minorHAnsi" w:hAnsiTheme="minorHAnsi" w:cstheme="minorHAnsi"/>
        </w:rPr>
        <w:t>hyperthreading</w:t>
      </w:r>
      <w:proofErr w:type="spellEnd"/>
      <w:r>
        <w:rPr>
          <w:rFonts w:asciiTheme="minorHAnsi" w:hAnsiTheme="minorHAnsi" w:cstheme="minorHAnsi"/>
        </w:rPr>
        <w:t>.</w:t>
      </w:r>
    </w:p>
    <w:p w14:paraId="3318A276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531D55AB" w14:textId="7777777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bookmarkStart w:id="4" w:name="_Ref507402858"/>
      <w:r>
        <w:rPr>
          <w:rFonts w:asciiTheme="minorHAnsi" w:hAnsiTheme="minorHAnsi" w:cstheme="minorHAnsi"/>
        </w:rPr>
        <w:t xml:space="preserve">Minimální výkon serveru měřený nástrojem SPEC CPU® 2017 ve variantě FP, </w:t>
      </w:r>
      <w:proofErr w:type="spellStart"/>
      <w:r>
        <w:rPr>
          <w:rFonts w:asciiTheme="minorHAnsi" w:hAnsiTheme="minorHAnsi" w:cstheme="minorHAnsi"/>
        </w:rPr>
        <w:t>rate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baseline</w:t>
      </w:r>
      <w:proofErr w:type="spellEnd"/>
      <w:r>
        <w:rPr>
          <w:rFonts w:asciiTheme="minorHAnsi" w:hAnsiTheme="minorHAnsi" w:cstheme="minorHAnsi"/>
        </w:rPr>
        <w:t xml:space="preserve"> musí být alespoň 1000 bodů. Hodnota SPEC CPU 2017 musí být v nabídce uvedena, za dostatečné se považuje uvedení hodnoty z databáze SPEC pro nabízený procesor. Zadavatel nebude akceptovat SPEC test, ve kterém by paměť byla přetaktována (tj. „</w:t>
      </w:r>
      <w:proofErr w:type="spellStart"/>
      <w:r>
        <w:rPr>
          <w:rFonts w:asciiTheme="minorHAnsi" w:hAnsiTheme="minorHAnsi" w:cstheme="minorHAnsi"/>
        </w:rPr>
        <w:t>running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at</w:t>
      </w:r>
      <w:proofErr w:type="spellEnd"/>
      <w:r>
        <w:rPr>
          <w:rFonts w:asciiTheme="minorHAnsi" w:hAnsiTheme="minorHAnsi" w:cstheme="minorHAnsi"/>
        </w:rPr>
        <w:t>...</w:t>
      </w:r>
      <w:proofErr w:type="gramEnd"/>
      <w:r>
        <w:rPr>
          <w:rFonts w:asciiTheme="minorHAnsi" w:hAnsiTheme="minorHAnsi" w:cstheme="minorHAnsi"/>
        </w:rPr>
        <w:t>“ by bylo vyšší než nominální takt paměti).</w:t>
      </w:r>
    </w:p>
    <w:p w14:paraId="276C61EE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03F5B504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Cs/>
          <w:color w:val="FF0000"/>
        </w:rPr>
        <w:t>Přiložte protokol SPEC testu podle tohoto bodu.</w:t>
      </w:r>
      <w:bookmarkEnd w:id="4"/>
    </w:p>
    <w:p w14:paraId="042E0DDC" w14:textId="7777777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Nabízený procesor i další komponenty (motherboard, BIOS) musí podporovat </w:t>
      </w:r>
      <w:proofErr w:type="spellStart"/>
      <w:r>
        <w:rPr>
          <w:rFonts w:asciiTheme="minorHAnsi" w:hAnsiTheme="minorHAnsi" w:cstheme="minorHAnsi"/>
        </w:rPr>
        <w:t>virtualizaci</w:t>
      </w:r>
      <w:proofErr w:type="spellEnd"/>
      <w:r>
        <w:rPr>
          <w:rFonts w:asciiTheme="minorHAnsi" w:hAnsiTheme="minorHAnsi" w:cstheme="minorHAnsi"/>
        </w:rPr>
        <w:t xml:space="preserve">, včetně </w:t>
      </w:r>
      <w:proofErr w:type="spellStart"/>
      <w:r>
        <w:rPr>
          <w:rFonts w:asciiTheme="minorHAnsi" w:hAnsiTheme="minorHAnsi" w:cstheme="minorHAnsi"/>
        </w:rPr>
        <w:t>virtualizace</w:t>
      </w:r>
      <w:proofErr w:type="spellEnd"/>
      <w:r>
        <w:rPr>
          <w:rFonts w:asciiTheme="minorHAnsi" w:hAnsiTheme="minorHAnsi" w:cstheme="minorHAnsi"/>
        </w:rPr>
        <w:t xml:space="preserve"> I/O (v terminologii firmy Intel VT-d, v terminologii firmy AMD AMD-</w:t>
      </w:r>
      <w:proofErr w:type="spellStart"/>
      <w:r>
        <w:rPr>
          <w:rFonts w:asciiTheme="minorHAnsi" w:hAnsiTheme="minorHAnsi" w:cstheme="minorHAnsi"/>
        </w:rPr>
        <w:t>Vi</w:t>
      </w:r>
      <w:proofErr w:type="spellEnd"/>
      <w:r>
        <w:rPr>
          <w:rFonts w:asciiTheme="minorHAnsi" w:hAnsiTheme="minorHAnsi" w:cstheme="minorHAnsi"/>
        </w:rPr>
        <w:t>).</w:t>
      </w:r>
    </w:p>
    <w:p w14:paraId="75D65542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3A91C8DA" w14:textId="4D7615E7" w:rsidR="006C131A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Nabízená operační paměť musí být alespoň o velikosti 1536 GB ECC. Rychlost pamětí nesmí být horší než rychlost paměti použité ve SPEC testu doloženého dle bodu </w:t>
      </w:r>
      <w:r w:rsidR="00BE19E2">
        <w:rPr>
          <w:rFonts w:asciiTheme="minorHAnsi" w:hAnsiTheme="minorHAnsi" w:cstheme="minorHAnsi"/>
        </w:rPr>
        <w:t>4.25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Počet osazených paměťových kanálů nesmí být </w:t>
      </w:r>
      <w:proofErr w:type="gramStart"/>
      <w:r>
        <w:rPr>
          <w:rFonts w:asciiTheme="minorHAnsi" w:hAnsiTheme="minorHAnsi" w:cstheme="minorHAnsi"/>
        </w:rPr>
        <w:t>nižší</w:t>
      </w:r>
      <w:proofErr w:type="gramEnd"/>
      <w:r>
        <w:rPr>
          <w:rFonts w:asciiTheme="minorHAnsi" w:hAnsiTheme="minorHAnsi" w:cstheme="minorHAnsi"/>
        </w:rPr>
        <w:t xml:space="preserve"> než počet paměťových kanálů, které byly osazeny ve SPEC testu uvedeném v bodu </w:t>
      </w:r>
      <w:r w:rsidR="00BE19E2">
        <w:rPr>
          <w:rFonts w:asciiTheme="minorHAnsi" w:hAnsiTheme="minorHAnsi" w:cstheme="minorHAnsi"/>
        </w:rPr>
        <w:t>4.25.</w:t>
      </w:r>
      <w:r>
        <w:rPr>
          <w:rFonts w:asciiTheme="minorHAnsi" w:hAnsiTheme="minorHAnsi" w:cstheme="minorHAnsi"/>
        </w:rPr>
        <w:t xml:space="preserve"> (zadavatel preferuje rovnoměrné osazení paměťovými moduly). Všechny osazené paměťové moduly musí být identické (tzn. stejné velikosti, na stejné frekvenci, stejného </w:t>
      </w:r>
      <w:proofErr w:type="gramStart"/>
      <w:r>
        <w:rPr>
          <w:rFonts w:asciiTheme="minorHAnsi" w:hAnsiTheme="minorHAnsi" w:cstheme="minorHAnsi"/>
        </w:rPr>
        <w:t>typu,</w:t>
      </w:r>
      <w:proofErr w:type="gramEnd"/>
      <w:r>
        <w:rPr>
          <w:rFonts w:asciiTheme="minorHAnsi" w:hAnsiTheme="minorHAnsi" w:cstheme="minorHAnsi"/>
        </w:rPr>
        <w:t xml:space="preserve"> atd.).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2B975F70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  <w:b/>
          <w:bCs/>
        </w:rPr>
      </w:pPr>
      <w:r>
        <w:rPr>
          <w:rFonts w:ascii="Arial" w:hAnsi="Arial" w:cs="Arial"/>
          <w:color w:val="FF0000"/>
          <w:szCs w:val="22"/>
        </w:rPr>
        <w:t>Uveďte typ a kapacitu nabízených pamětí:</w:t>
      </w:r>
    </w:p>
    <w:p w14:paraId="69350455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Server musí být osazen dvěma shodnými systémovými SSD disky s kapacitou alespoň 480 GB každý, očekává se zátěž odpovídající </w:t>
      </w:r>
      <w:r>
        <w:rPr>
          <w:rFonts w:ascii="Arial" w:hAnsi="Arial" w:cstheme="minorHAnsi"/>
        </w:rPr>
        <w:t>DWPD</w:t>
      </w:r>
      <w:r>
        <w:rPr>
          <w:rFonts w:asciiTheme="minorHAnsi" w:hAnsiTheme="minorHAnsi" w:cstheme="minorHAnsi"/>
        </w:rPr>
        <w:t xml:space="preserve"> 2 pro každý z těchto disků.</w:t>
      </w:r>
    </w:p>
    <w:p w14:paraId="31F41702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7C23714E" w14:textId="77777777" w:rsidR="006C131A" w:rsidRPr="002201BB" w:rsidRDefault="00276BDC">
      <w:pPr>
        <w:pStyle w:val="zadavacka2"/>
        <w:numPr>
          <w:ilvl w:val="1"/>
          <w:numId w:val="2"/>
        </w:numPr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Server musí být osazen minimálně čtyřmi shodnými datovými </w:t>
      </w:r>
      <w:proofErr w:type="spellStart"/>
      <w:r>
        <w:rPr>
          <w:rFonts w:asciiTheme="minorHAnsi" w:hAnsiTheme="minorHAnsi" w:cstheme="minorHAnsi"/>
        </w:rPr>
        <w:t>NVMe</w:t>
      </w:r>
      <w:proofErr w:type="spellEnd"/>
      <w:r>
        <w:rPr>
          <w:rFonts w:asciiTheme="minorHAnsi" w:hAnsiTheme="minorHAnsi" w:cstheme="minorHAnsi"/>
        </w:rPr>
        <w:t xml:space="preserve"> disky s kapacitou alespoň 7.2 TB každý, očekává se zátěž odpovídající </w:t>
      </w:r>
      <w:r>
        <w:rPr>
          <w:rFonts w:ascii="Arial" w:hAnsi="Arial" w:cstheme="minorHAnsi"/>
        </w:rPr>
        <w:t>DWPD</w:t>
      </w:r>
      <w:r>
        <w:rPr>
          <w:rFonts w:asciiTheme="minorHAnsi" w:hAnsiTheme="minorHAnsi" w:cstheme="minorHAnsi"/>
        </w:rPr>
        <w:t xml:space="preserve"> 2 pro každý z těchto disků. Každý disk bude zapojen přímo na CPU čtyřmi dedikovanými linkami </w:t>
      </w:r>
      <w:proofErr w:type="spellStart"/>
      <w:r>
        <w:rPr>
          <w:rFonts w:asciiTheme="minorHAnsi" w:hAnsiTheme="minorHAnsi" w:cstheme="minorHAnsi"/>
        </w:rPr>
        <w:t>PCIe</w:t>
      </w:r>
      <w:proofErr w:type="spellEnd"/>
      <w:r>
        <w:rPr>
          <w:rFonts w:asciiTheme="minorHAnsi" w:hAnsiTheme="minorHAnsi" w:cstheme="minorHAnsi"/>
        </w:rPr>
        <w:t xml:space="preserve"> minimálně gen 4. Požadujeme propustnost alespoň 1500MiB/s pro čtení a 800MiB/</w:t>
      </w:r>
      <w:proofErr w:type="gramStart"/>
      <w:r>
        <w:rPr>
          <w:rFonts w:asciiTheme="minorHAnsi" w:hAnsiTheme="minorHAnsi" w:cstheme="minorHAnsi"/>
        </w:rPr>
        <w:t>s</w:t>
      </w:r>
      <w:proofErr w:type="gramEnd"/>
      <w:r>
        <w:rPr>
          <w:rFonts w:asciiTheme="minorHAnsi" w:hAnsiTheme="minorHAnsi" w:cstheme="minorHAnsi"/>
        </w:rPr>
        <w:t xml:space="preserve"> zápis na </w:t>
      </w:r>
      <w:r w:rsidRPr="002201BB">
        <w:rPr>
          <w:rFonts w:asciiTheme="minorHAnsi" w:hAnsiTheme="minorHAnsi" w:cstheme="minorHAnsi"/>
        </w:rPr>
        <w:t xml:space="preserve">každém disku při jejich souběžném zatíženi. Měření propustnosti datových </w:t>
      </w:r>
      <w:proofErr w:type="spellStart"/>
      <w:r w:rsidRPr="002201BB">
        <w:rPr>
          <w:rFonts w:asciiTheme="minorHAnsi" w:hAnsiTheme="minorHAnsi" w:cstheme="minorHAnsi"/>
        </w:rPr>
        <w:t>NVMe</w:t>
      </w:r>
      <w:proofErr w:type="spellEnd"/>
      <w:r w:rsidRPr="002201BB">
        <w:rPr>
          <w:rFonts w:asciiTheme="minorHAnsi" w:hAnsiTheme="minorHAnsi" w:cstheme="minorHAnsi"/>
        </w:rPr>
        <w:t xml:space="preserve"> disků může být provedeno pomocí nástroje </w:t>
      </w:r>
      <w:proofErr w:type="spellStart"/>
      <w:r w:rsidRPr="002201BB">
        <w:rPr>
          <w:rFonts w:asciiTheme="minorHAnsi" w:hAnsiTheme="minorHAnsi" w:cstheme="minorHAnsi"/>
        </w:rPr>
        <w:t>iozone</w:t>
      </w:r>
      <w:proofErr w:type="spellEnd"/>
      <w:r w:rsidRPr="002201BB">
        <w:rPr>
          <w:rFonts w:asciiTheme="minorHAnsi" w:hAnsiTheme="minorHAnsi" w:cstheme="minorHAnsi"/>
        </w:rPr>
        <w:t xml:space="preserve"> nad souborovým systémem vytvořeným nad všemi osazenými datovými </w:t>
      </w:r>
      <w:proofErr w:type="spellStart"/>
      <w:r w:rsidRPr="002201BB">
        <w:rPr>
          <w:rFonts w:asciiTheme="minorHAnsi" w:hAnsiTheme="minorHAnsi" w:cstheme="minorHAnsi"/>
        </w:rPr>
        <w:t>NVMe</w:t>
      </w:r>
      <w:proofErr w:type="spellEnd"/>
      <w:r w:rsidRPr="002201BB">
        <w:rPr>
          <w:rFonts w:asciiTheme="minorHAnsi" w:hAnsiTheme="minorHAnsi" w:cstheme="minorHAnsi"/>
        </w:rPr>
        <w:t xml:space="preserve"> disky v serveru spojenými do softwarového RAID 0. Měření může být provedeno příkazem</w:t>
      </w:r>
      <w:r w:rsidRPr="002201BB">
        <w:rPr>
          <w:rFonts w:asciiTheme="minorHAnsi" w:hAnsiTheme="minorHAnsi" w:cstheme="minorHAnsi"/>
        </w:rPr>
        <w:br/>
      </w:r>
      <w:proofErr w:type="spellStart"/>
      <w:proofErr w:type="gramStart"/>
      <w:r w:rsidRPr="002201BB">
        <w:rPr>
          <w:rFonts w:asciiTheme="minorHAnsi" w:hAnsiTheme="minorHAnsi" w:cstheme="minorHAnsi"/>
        </w:rPr>
        <w:t>iozone</w:t>
      </w:r>
      <w:proofErr w:type="spellEnd"/>
      <w:r w:rsidRPr="002201BB">
        <w:rPr>
          <w:rFonts w:asciiTheme="minorHAnsi" w:hAnsiTheme="minorHAnsi" w:cstheme="minorHAnsi"/>
        </w:rPr>
        <w:t xml:space="preserve"> -</w:t>
      </w:r>
      <w:proofErr w:type="spellStart"/>
      <w:r w:rsidRPr="002201BB">
        <w:rPr>
          <w:rFonts w:asciiTheme="minorHAnsi" w:hAnsiTheme="minorHAnsi" w:cstheme="minorHAnsi"/>
        </w:rPr>
        <w:t>Mce</w:t>
      </w:r>
      <w:proofErr w:type="spellEnd"/>
      <w:proofErr w:type="gramEnd"/>
      <w:r w:rsidRPr="002201BB">
        <w:rPr>
          <w:rFonts w:asciiTheme="minorHAnsi" w:hAnsiTheme="minorHAnsi" w:cstheme="minorHAnsi"/>
        </w:rPr>
        <w:t xml:space="preserve"> -I -t64 -s100G -r256 -i0 -i1 -F soubor1 ... soubor64</w:t>
      </w:r>
      <w:r w:rsidRPr="002201BB">
        <w:rPr>
          <w:rFonts w:asciiTheme="minorHAnsi" w:hAnsiTheme="minorHAnsi" w:cstheme="minorHAnsi"/>
        </w:rPr>
        <w:br/>
        <w:t>kde soubory soubor1 až soubor64 leží na souborovém systému vytvořeném nad testovanými disky</w:t>
      </w:r>
      <w:r w:rsidRPr="002201BB">
        <w:t>.</w:t>
      </w:r>
    </w:p>
    <w:p w14:paraId="76BEA569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="Arial" w:hAnsi="Arial" w:cs="Arial"/>
          <w:color w:val="FF0000"/>
          <w:szCs w:val="22"/>
        </w:rPr>
      </w:pPr>
      <w:bookmarkStart w:id="5" w:name="_Hlk175725767"/>
      <w:r>
        <w:rPr>
          <w:rFonts w:ascii="Arial" w:hAnsi="Arial" w:cs="Arial"/>
          <w:color w:val="FF0000"/>
          <w:szCs w:val="22"/>
        </w:rPr>
        <w:t>Uveďte, zda nabídka splňuje požadavek [ANO/NE]:</w:t>
      </w:r>
    </w:p>
    <w:p w14:paraId="0ADC9287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 xml:space="preserve">Uveďte kapacitu a počet nabízených datových </w:t>
      </w:r>
      <w:proofErr w:type="spellStart"/>
      <w:r>
        <w:rPr>
          <w:rFonts w:ascii="Arial" w:hAnsi="Arial" w:cs="Arial"/>
          <w:color w:val="FF0000"/>
          <w:szCs w:val="22"/>
        </w:rPr>
        <w:t>NVMe</w:t>
      </w:r>
      <w:proofErr w:type="spellEnd"/>
      <w:r>
        <w:rPr>
          <w:rFonts w:ascii="Arial" w:hAnsi="Arial" w:cs="Arial"/>
          <w:color w:val="FF0000"/>
          <w:szCs w:val="22"/>
        </w:rPr>
        <w:t xml:space="preserve"> disků:</w:t>
      </w:r>
      <w:r>
        <w:rPr>
          <w:rFonts w:asciiTheme="minorHAnsi" w:hAnsiTheme="minorHAnsi" w:cstheme="minorHAnsi"/>
        </w:rPr>
        <w:t xml:space="preserve"> </w:t>
      </w:r>
      <w:bookmarkEnd w:id="5"/>
    </w:p>
    <w:p w14:paraId="4AEDEF61" w14:textId="77777777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Server musí mít aspoň dvě síťová rozhraní 25GE pro připojení do datových </w:t>
      </w:r>
      <w:proofErr w:type="spellStart"/>
      <w:r>
        <w:rPr>
          <w:rFonts w:asciiTheme="minorHAnsi" w:hAnsiTheme="minorHAnsi" w:cstheme="minorHAnsi"/>
        </w:rPr>
        <w:t>switchů</w:t>
      </w:r>
      <w:proofErr w:type="spellEnd"/>
      <w:r>
        <w:rPr>
          <w:rFonts w:asciiTheme="minorHAnsi" w:hAnsiTheme="minorHAnsi" w:cstheme="minorHAnsi"/>
        </w:rPr>
        <w:t xml:space="preserve">, alespoň jedno z nich musí umožňovat PXE </w:t>
      </w:r>
      <w:proofErr w:type="spellStart"/>
      <w:r>
        <w:rPr>
          <w:rFonts w:asciiTheme="minorHAnsi" w:hAnsiTheme="minorHAnsi" w:cstheme="minorHAnsi"/>
        </w:rPr>
        <w:t>boot</w:t>
      </w:r>
      <w:proofErr w:type="spellEnd"/>
      <w:r>
        <w:rPr>
          <w:rFonts w:asciiTheme="minorHAnsi" w:hAnsiTheme="minorHAnsi" w:cstheme="minorHAnsi"/>
        </w:rPr>
        <w:t xml:space="preserve">. Rozhraní musí být kompatibilní s 10GE </w:t>
      </w:r>
      <w:proofErr w:type="spellStart"/>
      <w:r>
        <w:rPr>
          <w:rFonts w:asciiTheme="minorHAnsi" w:hAnsiTheme="minorHAnsi" w:cstheme="minorHAnsi"/>
        </w:rPr>
        <w:t>twinax</w:t>
      </w:r>
      <w:proofErr w:type="spellEnd"/>
      <w:r>
        <w:rPr>
          <w:rFonts w:asciiTheme="minorHAnsi" w:hAnsiTheme="minorHAnsi" w:cstheme="minorHAnsi"/>
        </w:rPr>
        <w:t xml:space="preserve"> kabely Cisco aby bylo možné servery připojit do existujících síťových prvků.  </w:t>
      </w:r>
    </w:p>
    <w:p w14:paraId="250527C5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bookmarkStart w:id="6" w:name="undefined"/>
      <w:r>
        <w:rPr>
          <w:rFonts w:ascii="Arial" w:hAnsi="Arial" w:cs="Arial"/>
          <w:color w:val="FF0000"/>
          <w:szCs w:val="22"/>
        </w:rPr>
        <w:t>Uveďte, zda nabídka splňuje požadavek [ANO/NE]:</w:t>
      </w:r>
      <w:bookmarkEnd w:id="6"/>
    </w:p>
    <w:p w14:paraId="51D367A3" w14:textId="69F8FF9F" w:rsidR="006C131A" w:rsidRDefault="00276BDC">
      <w:pPr>
        <w:pStyle w:val="zadavacka2"/>
        <w:numPr>
          <w:ilvl w:val="1"/>
          <w:numId w:val="2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Maximální příkon: Průměrný hodinový příkon zařízení při jeho plné zátěži. U serverů je to pak příkon při spuštění několika </w:t>
      </w:r>
      <w:proofErr w:type="spellStart"/>
      <w:r>
        <w:rPr>
          <w:rFonts w:asciiTheme="minorHAnsi" w:hAnsiTheme="minorHAnsi" w:cstheme="minorHAnsi"/>
        </w:rPr>
        <w:t>benchmarků</w:t>
      </w:r>
      <w:proofErr w:type="spellEnd"/>
      <w:r>
        <w:rPr>
          <w:rFonts w:asciiTheme="minorHAnsi" w:hAnsiTheme="minorHAnsi" w:cstheme="minorHAnsi"/>
        </w:rPr>
        <w:t xml:space="preserve"> využívající všechny komponenty serveru (CPU, paměti, všechny lokální disky, síť, ...). Hodnotu maximálního příkonu je nezbytné kalkulovat pro plnou zátěž systému se všemi disky v plném provozu. Není možné dosahovat nižší hodnoty maximálního příkonu použitím funkcí jako vypínání napájení disků, MAID a podobně.</w:t>
      </w:r>
    </w:p>
    <w:p w14:paraId="363BC576" w14:textId="77777777" w:rsidR="006C131A" w:rsidRDefault="00276BDC">
      <w:pPr>
        <w:pStyle w:val="zadavacka2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>
        <w:rPr>
          <w:rFonts w:ascii="Arial" w:hAnsi="Arial" w:cs="Arial"/>
          <w:color w:val="FF0000"/>
          <w:szCs w:val="22"/>
        </w:rPr>
        <w:t>Uveďte hodnotu maximálního příkonu jednoho serveru:</w:t>
      </w:r>
      <w:r>
        <w:rPr>
          <w:rFonts w:asciiTheme="minorHAnsi" w:hAnsiTheme="minorHAnsi" w:cstheme="minorHAnsi"/>
        </w:rPr>
        <w:t xml:space="preserve"> </w:t>
      </w:r>
    </w:p>
    <w:sectPr w:rsidR="006C13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74" w:right="1418" w:bottom="851" w:left="1418" w:header="737" w:footer="340" w:gutter="0"/>
      <w:cols w:space="170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F841AC9" w16cex:dateUtc="2025-05-29T10:44:51Z"/>
  <w16cex:commentExtensible w16cex:durableId="22587DE9" w16cex:dateUtc="2025-05-29T10:43:21Z"/>
  <w16cex:commentExtensible w16cex:durableId="66A5B2B9" w16cex:dateUtc="2025-05-27T14:04:52Z"/>
  <w16cex:commentExtensible w16cex:durableId="1FCBC134" w16cex:dateUtc="2025-05-29T11:48:0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2208E" w14:textId="77777777" w:rsidR="001F6037" w:rsidRDefault="001F6037">
      <w:r>
        <w:separator/>
      </w:r>
    </w:p>
  </w:endnote>
  <w:endnote w:type="continuationSeparator" w:id="0">
    <w:p w14:paraId="1CE3455D" w14:textId="77777777" w:rsidR="001F6037" w:rsidRDefault="001F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LT Pro 55 Roman">
    <w:charset w:val="01"/>
    <w:family w:val="roman"/>
    <w:pitch w:val="variable"/>
  </w:font>
  <w:font w:name="starsymbol">
    <w:charset w:val="01"/>
    <w:family w:val="roman"/>
    <w:pitch w:val="variable"/>
  </w:font>
  <w:font w:name="futuraa bk bt">
    <w:altName w:val="Century Gothic"/>
    <w:charset w:val="01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itstream vera sans">
    <w:charset w:val="01"/>
    <w:family w:val="roman"/>
    <w:pitch w:val="variable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1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Mono"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25DC6" w14:textId="77777777" w:rsidR="006C131A" w:rsidRDefault="00276BDC">
    <w:pPr>
      <w:pBdr>
        <w:top w:val="single" w:sz="4" w:space="1" w:color="000000"/>
      </w:pBdr>
      <w:rPr>
        <w:rFonts w:asciiTheme="minorHAnsi" w:hAnsiTheme="minorHAnsi" w:cstheme="minorHAnsi"/>
        <w:bCs/>
        <w:iCs/>
        <w:sz w:val="16"/>
        <w:szCs w:val="16"/>
      </w:rPr>
    </w:pPr>
    <w:r>
      <w:rPr>
        <w:rFonts w:asciiTheme="minorHAnsi" w:hAnsiTheme="minorHAnsi" w:cstheme="minorHAnsi"/>
        <w:bCs/>
        <w:iCs/>
        <w:sz w:val="16"/>
        <w:szCs w:val="16"/>
      </w:rPr>
      <w:t>Příloha č. 1 Zadávací dokumentace</w:t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fldChar w:fldCharType="begin"/>
    </w:r>
    <w:r>
      <w:rPr>
        <w:rFonts w:ascii="Arial" w:hAnsi="Arial" w:cs="Arial"/>
        <w:bCs/>
        <w:iCs/>
        <w:sz w:val="16"/>
        <w:szCs w:val="16"/>
      </w:rPr>
      <w:instrText xml:space="preserve"> PAGE </w:instrText>
    </w:r>
    <w:r>
      <w:rPr>
        <w:rFonts w:ascii="Arial" w:hAnsi="Arial" w:cs="Arial"/>
        <w:bCs/>
        <w:iCs/>
        <w:sz w:val="16"/>
        <w:szCs w:val="16"/>
      </w:rPr>
      <w:fldChar w:fldCharType="separate"/>
    </w:r>
    <w:r>
      <w:rPr>
        <w:rFonts w:ascii="Arial" w:hAnsi="Arial" w:cs="Arial"/>
        <w:bCs/>
        <w:iCs/>
        <w:sz w:val="16"/>
        <w:szCs w:val="16"/>
      </w:rPr>
      <w:t>13</w:t>
    </w:r>
    <w:r>
      <w:rPr>
        <w:rFonts w:ascii="Arial" w:hAnsi="Arial" w:cs="Arial"/>
        <w:bCs/>
        <w:iCs/>
        <w:sz w:val="16"/>
        <w:szCs w:val="16"/>
      </w:rPr>
      <w:fldChar w:fldCharType="end"/>
    </w:r>
    <w:r>
      <w:rPr>
        <w:rFonts w:asciiTheme="minorHAnsi" w:hAnsiTheme="minorHAnsi" w:cstheme="minorHAnsi"/>
        <w:bCs/>
        <w:iCs/>
        <w:sz w:val="16"/>
        <w:szCs w:val="16"/>
      </w:rPr>
      <w:t>/</w:t>
    </w:r>
    <w:r>
      <w:rPr>
        <w:rFonts w:asciiTheme="minorHAnsi" w:hAnsiTheme="minorHAnsi" w:cstheme="minorHAnsi"/>
        <w:bCs/>
        <w:iCs/>
        <w:sz w:val="16"/>
        <w:szCs w:val="16"/>
      </w:rPr>
      <w:fldChar w:fldCharType="begin"/>
    </w:r>
    <w:r>
      <w:rPr>
        <w:rFonts w:ascii="Arial" w:hAnsi="Arial" w:cs="Arial"/>
        <w:bCs/>
        <w:iCs/>
        <w:sz w:val="16"/>
        <w:szCs w:val="16"/>
      </w:rPr>
      <w:instrText xml:space="preserve"> NUMPAGES </w:instrText>
    </w:r>
    <w:r>
      <w:rPr>
        <w:rFonts w:ascii="Arial" w:hAnsi="Arial" w:cs="Arial"/>
        <w:bCs/>
        <w:iCs/>
        <w:sz w:val="16"/>
        <w:szCs w:val="16"/>
      </w:rPr>
      <w:fldChar w:fldCharType="separate"/>
    </w:r>
    <w:r>
      <w:rPr>
        <w:rFonts w:ascii="Arial" w:hAnsi="Arial" w:cs="Arial"/>
        <w:bCs/>
        <w:iCs/>
        <w:sz w:val="16"/>
        <w:szCs w:val="16"/>
      </w:rPr>
      <w:t>13</w:t>
    </w:r>
    <w:r>
      <w:rPr>
        <w:rFonts w:ascii="Arial" w:hAnsi="Arial" w:cs="Arial"/>
        <w:bCs/>
        <w:iCs/>
        <w:sz w:val="16"/>
        <w:szCs w:val="16"/>
      </w:rPr>
      <w:fldChar w:fldCharType="end"/>
    </w:r>
  </w:p>
  <w:p w14:paraId="33847D86" w14:textId="11A622DB" w:rsidR="006C131A" w:rsidRDefault="00EE2D43">
    <w:pPr>
      <w:rPr>
        <w:rFonts w:asciiTheme="minorHAnsi" w:hAnsiTheme="minorHAnsi" w:cstheme="minorHAnsi"/>
        <w:sz w:val="16"/>
        <w:szCs w:val="16"/>
      </w:rPr>
    </w:pPr>
    <w:proofErr w:type="gramStart"/>
    <w:r w:rsidRPr="00EE2D43">
      <w:rPr>
        <w:rFonts w:asciiTheme="minorHAnsi" w:hAnsiTheme="minorHAnsi" w:cstheme="minorHAnsi"/>
        <w:bCs/>
        <w:iCs/>
        <w:sz w:val="16"/>
        <w:szCs w:val="16"/>
      </w:rPr>
      <w:t>CESNET - Dodávka</w:t>
    </w:r>
    <w:proofErr w:type="gramEnd"/>
    <w:r w:rsidRPr="00EE2D43">
      <w:rPr>
        <w:rFonts w:asciiTheme="minorHAnsi" w:hAnsiTheme="minorHAnsi" w:cstheme="minorHAnsi"/>
        <w:bCs/>
        <w:iCs/>
        <w:sz w:val="16"/>
        <w:szCs w:val="16"/>
      </w:rPr>
      <w:t xml:space="preserve"> serverů a úložných kapacit pro centrální </w:t>
    </w:r>
    <w:proofErr w:type="spellStart"/>
    <w:r w:rsidRPr="00EE2D43">
      <w:rPr>
        <w:rFonts w:asciiTheme="minorHAnsi" w:hAnsiTheme="minorHAnsi" w:cstheme="minorHAnsi"/>
        <w:bCs/>
        <w:iCs/>
        <w:sz w:val="16"/>
        <w:szCs w:val="16"/>
      </w:rPr>
      <w:t>logmanagement</w:t>
    </w:r>
    <w:proofErr w:type="spellEnd"/>
    <w:r w:rsidRPr="00EE2D43">
      <w:rPr>
        <w:rFonts w:asciiTheme="minorHAnsi" w:hAnsiTheme="minorHAnsi" w:cstheme="minorHAnsi"/>
        <w:bCs/>
        <w:iCs/>
        <w:sz w:val="16"/>
        <w:szCs w:val="16"/>
      </w:rPr>
      <w:t xml:space="preserve"> č. 1 (2025)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D231" w14:textId="77777777" w:rsidR="006C131A" w:rsidRDefault="00276BDC">
    <w:pPr>
      <w:pBdr>
        <w:top w:val="single" w:sz="4" w:space="1" w:color="000000"/>
      </w:pBdr>
      <w:rPr>
        <w:rFonts w:asciiTheme="minorHAnsi" w:hAnsiTheme="minorHAnsi" w:cstheme="minorHAnsi"/>
        <w:bCs/>
        <w:iCs/>
        <w:sz w:val="16"/>
        <w:szCs w:val="16"/>
      </w:rPr>
    </w:pPr>
    <w:r>
      <w:rPr>
        <w:rFonts w:asciiTheme="minorHAnsi" w:hAnsiTheme="minorHAnsi" w:cstheme="minorHAnsi"/>
        <w:bCs/>
        <w:iCs/>
        <w:sz w:val="16"/>
        <w:szCs w:val="16"/>
      </w:rPr>
      <w:t>Příloha č. 1 Zadávací dokumentace</w:t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tab/>
    </w:r>
    <w:r>
      <w:rPr>
        <w:rFonts w:asciiTheme="minorHAnsi" w:hAnsiTheme="minorHAnsi" w:cstheme="minorHAnsi"/>
        <w:bCs/>
        <w:iCs/>
        <w:sz w:val="16"/>
        <w:szCs w:val="16"/>
      </w:rPr>
      <w:fldChar w:fldCharType="begin"/>
    </w:r>
    <w:r>
      <w:rPr>
        <w:rFonts w:ascii="Arial" w:hAnsi="Arial" w:cs="Arial"/>
        <w:bCs/>
        <w:iCs/>
        <w:sz w:val="16"/>
        <w:szCs w:val="16"/>
      </w:rPr>
      <w:instrText xml:space="preserve"> PAGE </w:instrText>
    </w:r>
    <w:r>
      <w:rPr>
        <w:rFonts w:ascii="Arial" w:hAnsi="Arial" w:cs="Arial"/>
        <w:bCs/>
        <w:iCs/>
        <w:sz w:val="16"/>
        <w:szCs w:val="16"/>
      </w:rPr>
      <w:fldChar w:fldCharType="separate"/>
    </w:r>
    <w:r>
      <w:rPr>
        <w:rFonts w:ascii="Arial" w:hAnsi="Arial" w:cs="Arial"/>
        <w:bCs/>
        <w:iCs/>
        <w:sz w:val="16"/>
        <w:szCs w:val="16"/>
      </w:rPr>
      <w:t>13</w:t>
    </w:r>
    <w:r>
      <w:rPr>
        <w:rFonts w:ascii="Arial" w:hAnsi="Arial" w:cs="Arial"/>
        <w:bCs/>
        <w:iCs/>
        <w:sz w:val="16"/>
        <w:szCs w:val="16"/>
      </w:rPr>
      <w:fldChar w:fldCharType="end"/>
    </w:r>
    <w:r>
      <w:rPr>
        <w:rFonts w:asciiTheme="minorHAnsi" w:hAnsiTheme="minorHAnsi" w:cstheme="minorHAnsi"/>
        <w:bCs/>
        <w:iCs/>
        <w:sz w:val="16"/>
        <w:szCs w:val="16"/>
      </w:rPr>
      <w:t>/</w:t>
    </w:r>
    <w:r>
      <w:rPr>
        <w:rFonts w:asciiTheme="minorHAnsi" w:hAnsiTheme="minorHAnsi" w:cstheme="minorHAnsi"/>
        <w:bCs/>
        <w:iCs/>
        <w:sz w:val="16"/>
        <w:szCs w:val="16"/>
      </w:rPr>
      <w:fldChar w:fldCharType="begin"/>
    </w:r>
    <w:r>
      <w:rPr>
        <w:rFonts w:ascii="Arial" w:hAnsi="Arial" w:cs="Arial"/>
        <w:bCs/>
        <w:iCs/>
        <w:sz w:val="16"/>
        <w:szCs w:val="16"/>
      </w:rPr>
      <w:instrText xml:space="preserve"> NUMPAGES </w:instrText>
    </w:r>
    <w:r>
      <w:rPr>
        <w:rFonts w:ascii="Arial" w:hAnsi="Arial" w:cs="Arial"/>
        <w:bCs/>
        <w:iCs/>
        <w:sz w:val="16"/>
        <w:szCs w:val="16"/>
      </w:rPr>
      <w:fldChar w:fldCharType="separate"/>
    </w:r>
    <w:r>
      <w:rPr>
        <w:rFonts w:ascii="Arial" w:hAnsi="Arial" w:cs="Arial"/>
        <w:bCs/>
        <w:iCs/>
        <w:sz w:val="16"/>
        <w:szCs w:val="16"/>
      </w:rPr>
      <w:t>13</w:t>
    </w:r>
    <w:r>
      <w:rPr>
        <w:rFonts w:ascii="Arial" w:hAnsi="Arial" w:cs="Arial"/>
        <w:bCs/>
        <w:iCs/>
        <w:sz w:val="16"/>
        <w:szCs w:val="16"/>
      </w:rPr>
      <w:fldChar w:fldCharType="end"/>
    </w:r>
  </w:p>
  <w:p w14:paraId="55F59603" w14:textId="77777777" w:rsidR="006C131A" w:rsidRDefault="00276BDC">
    <w:pPr>
      <w:rPr>
        <w:rFonts w:asciiTheme="minorHAnsi" w:hAnsiTheme="minorHAnsi" w:cstheme="minorHAnsi"/>
        <w:sz w:val="16"/>
        <w:szCs w:val="16"/>
      </w:rPr>
    </w:pPr>
    <w:proofErr w:type="gramStart"/>
    <w:r>
      <w:rPr>
        <w:rFonts w:asciiTheme="minorHAnsi" w:hAnsiTheme="minorHAnsi" w:cstheme="minorHAnsi"/>
        <w:bCs/>
        <w:iCs/>
        <w:sz w:val="16"/>
        <w:szCs w:val="16"/>
      </w:rPr>
      <w:t>CESNET - Dodávka</w:t>
    </w:r>
    <w:proofErr w:type="gramEnd"/>
    <w:r>
      <w:rPr>
        <w:rFonts w:asciiTheme="minorHAnsi" w:hAnsiTheme="minorHAnsi" w:cstheme="minorHAnsi"/>
        <w:bCs/>
        <w:iCs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24"/>
      </w:rPr>
      <w:t xml:space="preserve">clusteru pro Národní </w:t>
    </w:r>
    <w:proofErr w:type="spellStart"/>
    <w:r>
      <w:rPr>
        <w:rFonts w:asciiTheme="minorHAnsi" w:hAnsiTheme="minorHAnsi" w:cstheme="minorHAnsi"/>
        <w:sz w:val="16"/>
        <w:szCs w:val="24"/>
      </w:rPr>
      <w:t>repozitářovou</w:t>
    </w:r>
    <w:proofErr w:type="spellEnd"/>
    <w:r>
      <w:rPr>
        <w:rFonts w:asciiTheme="minorHAnsi" w:hAnsiTheme="minorHAnsi" w:cstheme="minorHAnsi"/>
        <w:sz w:val="16"/>
        <w:szCs w:val="24"/>
      </w:rPr>
      <w:t xml:space="preserve"> platformu 1 (2024)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33527" w14:textId="77777777" w:rsidR="001F6037" w:rsidRDefault="001F6037">
      <w:pPr>
        <w:rPr>
          <w:sz w:val="12"/>
        </w:rPr>
      </w:pPr>
      <w:r>
        <w:separator/>
      </w:r>
    </w:p>
  </w:footnote>
  <w:footnote w:type="continuationSeparator" w:id="0">
    <w:p w14:paraId="4612ED37" w14:textId="77777777" w:rsidR="001F6037" w:rsidRDefault="001F6037">
      <w:pPr>
        <w:rPr>
          <w:sz w:val="12"/>
        </w:rPr>
      </w:pPr>
      <w:r>
        <w:continuationSeparator/>
      </w:r>
    </w:p>
  </w:footnote>
  <w:footnote w:id="1">
    <w:p w14:paraId="6DAB0D2D" w14:textId="1C5BF3E5" w:rsidR="006C131A" w:rsidRDefault="00276BDC">
      <w:pPr>
        <w:pStyle w:val="Textpoznpodarou"/>
      </w:pPr>
      <w:r>
        <w:rPr>
          <w:rStyle w:val="FootnoteCharacters"/>
        </w:rPr>
        <w:footnoteRef/>
      </w:r>
      <w:r>
        <w:t xml:space="preserve"> Zadavatel důrazně doporučuje volit disky s odpovídajícími parametry DWPD/TBW s ohledem na to, že podle záručních podmínek může být velký počet současných selhání disků nebo opakované selhání disků důvodem až k odstoupení od smlouvy.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B2507" w14:textId="77777777" w:rsidR="006C131A" w:rsidRDefault="00276BDC">
    <w:pPr>
      <w:pStyle w:val="Odstavecseseznamem"/>
      <w:rPr>
        <w:i/>
        <w:sz w:val="14"/>
        <w:szCs w:val="18"/>
      </w:rPr>
    </w:pPr>
    <w:r>
      <w:rPr>
        <w:i/>
        <w:noProof/>
        <w:sz w:val="14"/>
        <w:szCs w:val="18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0A6E05E" wp14:editId="4CFA7C6B">
              <wp:simplePos x="0" y="0"/>
              <wp:positionH relativeFrom="column">
                <wp:align>left</wp:align>
              </wp:positionH>
              <wp:positionV relativeFrom="page">
                <wp:posOffset>71755</wp:posOffset>
              </wp:positionV>
              <wp:extent cx="1619250" cy="885190"/>
              <wp:effectExtent l="0" t="0" r="0" b="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l="-19" t="-34" r="-19" b="-34"/>
                      <a:stretch/>
                    </pic:blipFill>
                    <pic:spPr bwMode="auto">
                      <a:xfrm>
                        <a:off x="0" y="0"/>
                        <a:ext cx="1619250" cy="885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216;o:allowoverlap:true;o:allowincell:true;mso-position-horizontal-relative:text;mso-position-horizontal:left;mso-position-vertical-relative:page;margin-top:5.65pt;mso-position-vertical:absolute;width:127.50pt;height:69.70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3B81" w14:textId="77777777" w:rsidR="006C131A" w:rsidRDefault="00276BDC">
    <w:pPr>
      <w:pStyle w:val="Zhlav"/>
      <w:rPr>
        <w:i/>
        <w:sz w:val="14"/>
        <w:szCs w:val="18"/>
      </w:rPr>
    </w:pPr>
    <w:r>
      <w:rPr>
        <w:i/>
        <w:noProof/>
        <w:sz w:val="14"/>
        <w:szCs w:val="18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408401E4" wp14:editId="23496CAF">
              <wp:simplePos x="0" y="0"/>
              <wp:positionH relativeFrom="column">
                <wp:align>left</wp:align>
              </wp:positionH>
              <wp:positionV relativeFrom="page">
                <wp:posOffset>71755</wp:posOffset>
              </wp:positionV>
              <wp:extent cx="1619250" cy="885190"/>
              <wp:effectExtent l="0" t="0" r="0" b="0"/>
              <wp:wrapNone/>
              <wp:docPr id="2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ázek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l="-19" t="-34" r="-19" b="-34"/>
                      <a:stretch/>
                    </pic:blipFill>
                    <pic:spPr bwMode="auto">
                      <a:xfrm>
                        <a:off x="0" y="0"/>
                        <a:ext cx="1619250" cy="885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8240;o:allowoverlap:true;o:allowincell:true;mso-position-horizontal-relative:text;mso-position-horizontal:left;mso-position-vertical-relative:page;margin-top:5.65pt;mso-position-vertical:absolute;width:127.50pt;height:69.70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243"/>
    <w:multiLevelType w:val="multilevel"/>
    <w:tmpl w:val="5C00C41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67" w:hanging="432"/>
      </w:pPr>
      <w:rPr>
        <w:rFonts w:ascii="Arial" w:hAnsi="Arial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9C5F7C"/>
    <w:multiLevelType w:val="multilevel"/>
    <w:tmpl w:val="F1A051AE"/>
    <w:lvl w:ilvl="0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isLgl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isLgl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isLgl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isLgl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25FA2"/>
    <w:multiLevelType w:val="multilevel"/>
    <w:tmpl w:val="FB4EAAE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67" w:hanging="432"/>
      </w:pPr>
      <w:rPr>
        <w:rFonts w:ascii="Arial" w:hAnsi="Arial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C2917A0"/>
    <w:multiLevelType w:val="multilevel"/>
    <w:tmpl w:val="0EB2047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67" w:hanging="432"/>
      </w:pPr>
      <w:rPr>
        <w:rFonts w:ascii="Arial" w:hAnsi="Arial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7725893"/>
    <w:multiLevelType w:val="multilevel"/>
    <w:tmpl w:val="000628E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67" w:hanging="432"/>
      </w:pPr>
      <w:rPr>
        <w:rFonts w:ascii="Arial" w:hAnsi="Arial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B6B265E"/>
    <w:multiLevelType w:val="hybridMultilevel"/>
    <w:tmpl w:val="1FFEB796"/>
    <w:lvl w:ilvl="0" w:tplc="853A782A">
      <w:start w:val="1"/>
      <w:numFmt w:val="decimal"/>
      <w:pStyle w:val="BulletedList"/>
      <w:isLgl/>
      <w:lvlText w:val="%1)"/>
      <w:lvlJc w:val="left"/>
      <w:pPr>
        <w:tabs>
          <w:tab w:val="num" w:pos="0"/>
        </w:tabs>
        <w:ind w:left="360" w:hanging="360"/>
      </w:pPr>
    </w:lvl>
    <w:lvl w:ilvl="1" w:tplc="628CF820">
      <w:start w:val="1"/>
      <w:numFmt w:val="lowerLetter"/>
      <w:isLgl/>
      <w:lvlText w:val="%2)"/>
      <w:lvlJc w:val="left"/>
      <w:pPr>
        <w:tabs>
          <w:tab w:val="num" w:pos="0"/>
        </w:tabs>
        <w:ind w:left="720" w:hanging="360"/>
      </w:pPr>
      <w:rPr>
        <w:i w:val="0"/>
      </w:rPr>
    </w:lvl>
    <w:lvl w:ilvl="2" w:tplc="811CA9A2">
      <w:start w:val="1"/>
      <w:numFmt w:val="lowerRoman"/>
      <w:isLgl/>
      <w:lvlText w:val="%3)"/>
      <w:lvlJc w:val="left"/>
      <w:pPr>
        <w:tabs>
          <w:tab w:val="num" w:pos="0"/>
        </w:tabs>
        <w:ind w:left="1080" w:hanging="360"/>
      </w:pPr>
    </w:lvl>
    <w:lvl w:ilvl="3" w:tplc="25D48EA4">
      <w:start w:val="1"/>
      <w:numFmt w:val="decimal"/>
      <w:isLgl/>
      <w:lvlText w:val="(%4)"/>
      <w:lvlJc w:val="left"/>
      <w:pPr>
        <w:tabs>
          <w:tab w:val="num" w:pos="0"/>
        </w:tabs>
        <w:ind w:left="1440" w:hanging="360"/>
      </w:pPr>
    </w:lvl>
    <w:lvl w:ilvl="4" w:tplc="D3D05B4A">
      <w:start w:val="1"/>
      <w:numFmt w:val="lowerLetter"/>
      <w:isLgl/>
      <w:lvlText w:val="(%5)"/>
      <w:lvlJc w:val="left"/>
      <w:pPr>
        <w:tabs>
          <w:tab w:val="num" w:pos="0"/>
        </w:tabs>
        <w:ind w:left="1800" w:hanging="360"/>
      </w:pPr>
    </w:lvl>
    <w:lvl w:ilvl="5" w:tplc="925A1DB6">
      <w:start w:val="1"/>
      <w:numFmt w:val="lowerRoman"/>
      <w:isLgl/>
      <w:lvlText w:val="(%6)"/>
      <w:lvlJc w:val="left"/>
      <w:pPr>
        <w:tabs>
          <w:tab w:val="num" w:pos="0"/>
        </w:tabs>
        <w:ind w:left="2160" w:hanging="360"/>
      </w:pPr>
    </w:lvl>
    <w:lvl w:ilvl="6" w:tplc="46E8AE70">
      <w:start w:val="1"/>
      <w:numFmt w:val="decimal"/>
      <w:isLgl/>
      <w:lvlText w:val="%7."/>
      <w:lvlJc w:val="left"/>
      <w:pPr>
        <w:tabs>
          <w:tab w:val="num" w:pos="0"/>
        </w:tabs>
        <w:ind w:left="2520" w:hanging="360"/>
      </w:pPr>
    </w:lvl>
    <w:lvl w:ilvl="7" w:tplc="942A8F90">
      <w:start w:val="1"/>
      <w:numFmt w:val="lowerLetter"/>
      <w:isLgl/>
      <w:lvlText w:val="%8."/>
      <w:lvlJc w:val="left"/>
      <w:pPr>
        <w:tabs>
          <w:tab w:val="num" w:pos="0"/>
        </w:tabs>
        <w:ind w:left="2880" w:hanging="360"/>
      </w:pPr>
    </w:lvl>
    <w:lvl w:ilvl="8" w:tplc="132A895E">
      <w:start w:val="1"/>
      <w:numFmt w:val="lowerRoman"/>
      <w:isLgl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3F9F66CC"/>
    <w:multiLevelType w:val="hybridMultilevel"/>
    <w:tmpl w:val="E2906B20"/>
    <w:lvl w:ilvl="0" w:tplc="13ECA11C">
      <w:start w:val="1"/>
      <w:numFmt w:val="lowerLetter"/>
      <w:pStyle w:val="bulletsLevel1"/>
      <w:isLgl/>
      <w:lvlText w:val="%1)"/>
      <w:lvlJc w:val="left"/>
      <w:pPr>
        <w:tabs>
          <w:tab w:val="num" w:pos="720"/>
        </w:tabs>
        <w:ind w:left="720" w:hanging="360"/>
      </w:pPr>
    </w:lvl>
    <w:lvl w:ilvl="1" w:tplc="22FED5F2">
      <w:start w:val="1"/>
      <w:numFmt w:val="lowerLetter"/>
      <w:isLgl/>
      <w:lvlText w:val="%2."/>
      <w:lvlJc w:val="left"/>
      <w:pPr>
        <w:tabs>
          <w:tab w:val="num" w:pos="1440"/>
        </w:tabs>
        <w:ind w:left="1440" w:hanging="360"/>
      </w:pPr>
    </w:lvl>
    <w:lvl w:ilvl="2" w:tplc="3E56F402">
      <w:start w:val="1"/>
      <w:numFmt w:val="lowerRoman"/>
      <w:isLgl/>
      <w:lvlText w:val="%3."/>
      <w:lvlJc w:val="left"/>
      <w:pPr>
        <w:tabs>
          <w:tab w:val="num" w:pos="2160"/>
        </w:tabs>
        <w:ind w:left="2160" w:hanging="180"/>
      </w:pPr>
    </w:lvl>
    <w:lvl w:ilvl="3" w:tplc="7D86DE12">
      <w:start w:val="1"/>
      <w:numFmt w:val="decimal"/>
      <w:isLgl/>
      <w:lvlText w:val="%4."/>
      <w:lvlJc w:val="left"/>
      <w:pPr>
        <w:tabs>
          <w:tab w:val="num" w:pos="2880"/>
        </w:tabs>
        <w:ind w:left="2880" w:hanging="360"/>
      </w:pPr>
    </w:lvl>
    <w:lvl w:ilvl="4" w:tplc="FB58FD00">
      <w:start w:val="1"/>
      <w:numFmt w:val="lowerLetter"/>
      <w:isLgl/>
      <w:lvlText w:val="%5."/>
      <w:lvlJc w:val="left"/>
      <w:pPr>
        <w:tabs>
          <w:tab w:val="num" w:pos="3600"/>
        </w:tabs>
        <w:ind w:left="3600" w:hanging="360"/>
      </w:pPr>
    </w:lvl>
    <w:lvl w:ilvl="5" w:tplc="8AA08DF4">
      <w:start w:val="1"/>
      <w:numFmt w:val="lowerRoman"/>
      <w:isLgl/>
      <w:lvlText w:val="%6."/>
      <w:lvlJc w:val="left"/>
      <w:pPr>
        <w:tabs>
          <w:tab w:val="num" w:pos="4320"/>
        </w:tabs>
        <w:ind w:left="4320" w:hanging="180"/>
      </w:pPr>
    </w:lvl>
    <w:lvl w:ilvl="6" w:tplc="6AD6EDDC">
      <w:start w:val="1"/>
      <w:numFmt w:val="decimal"/>
      <w:isLgl/>
      <w:lvlText w:val="%7."/>
      <w:lvlJc w:val="left"/>
      <w:pPr>
        <w:tabs>
          <w:tab w:val="num" w:pos="5040"/>
        </w:tabs>
        <w:ind w:left="5040" w:hanging="360"/>
      </w:pPr>
    </w:lvl>
    <w:lvl w:ilvl="7" w:tplc="927E87A6">
      <w:start w:val="1"/>
      <w:numFmt w:val="lowerLetter"/>
      <w:isLgl/>
      <w:lvlText w:val="%8."/>
      <w:lvlJc w:val="left"/>
      <w:pPr>
        <w:tabs>
          <w:tab w:val="num" w:pos="5760"/>
        </w:tabs>
        <w:ind w:left="5760" w:hanging="360"/>
      </w:pPr>
    </w:lvl>
    <w:lvl w:ilvl="8" w:tplc="748817B6">
      <w:start w:val="1"/>
      <w:numFmt w:val="lowerRoman"/>
      <w:isLgl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2C4393"/>
    <w:multiLevelType w:val="multilevel"/>
    <w:tmpl w:val="9828C29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67" w:hanging="432"/>
      </w:pPr>
      <w:rPr>
        <w:rFonts w:ascii="Arial" w:hAnsi="Arial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463F1925"/>
    <w:multiLevelType w:val="multilevel"/>
    <w:tmpl w:val="DCFAE1C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67" w:hanging="432"/>
      </w:pPr>
      <w:rPr>
        <w:rFonts w:ascii="Arial" w:hAnsi="Arial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CC62E7A"/>
    <w:multiLevelType w:val="multilevel"/>
    <w:tmpl w:val="87DC70E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67" w:hanging="432"/>
      </w:pPr>
      <w:rPr>
        <w:rFonts w:ascii="Arial" w:hAnsi="Arial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2783D4C"/>
    <w:multiLevelType w:val="multilevel"/>
    <w:tmpl w:val="AA04D1A4"/>
    <w:lvl w:ilvl="0">
      <w:start w:val="1"/>
      <w:numFmt w:val="decimal"/>
      <w:pStyle w:val="zadavacka"/>
      <w:isLgl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67" w:hanging="432"/>
      </w:pPr>
      <w:rPr>
        <w:rFonts w:ascii="Arial" w:hAnsi="Arial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DC40F3F"/>
    <w:multiLevelType w:val="multilevel"/>
    <w:tmpl w:val="F68A959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67" w:hanging="432"/>
      </w:pPr>
      <w:rPr>
        <w:rFonts w:ascii="Arial" w:hAnsi="Arial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4"/>
  </w:num>
  <w:num w:numId="13">
    <w:abstractNumId w:val="8"/>
  </w:num>
  <w:num w:numId="14">
    <w:abstractNumId w:val="9"/>
  </w:num>
  <w:num w:numId="15">
    <w:abstractNumId w:val="2"/>
  </w:num>
  <w:num w:numId="16">
    <w:abstractNumId w:val="7"/>
  </w:num>
  <w:num w:numId="17">
    <w:abstractNumId w:val="11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1A"/>
    <w:rsid w:val="00080887"/>
    <w:rsid w:val="000D5842"/>
    <w:rsid w:val="000E52B3"/>
    <w:rsid w:val="00127C6F"/>
    <w:rsid w:val="0018330F"/>
    <w:rsid w:val="001F6037"/>
    <w:rsid w:val="002201BB"/>
    <w:rsid w:val="00276BDC"/>
    <w:rsid w:val="002F3AB1"/>
    <w:rsid w:val="00376D3D"/>
    <w:rsid w:val="006C131A"/>
    <w:rsid w:val="00A26B5C"/>
    <w:rsid w:val="00BC6579"/>
    <w:rsid w:val="00BE19E2"/>
    <w:rsid w:val="00C6635A"/>
    <w:rsid w:val="00EE2D43"/>
    <w:rsid w:val="00F9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1A4A"/>
  <w15:docId w15:val="{5590CF0F-FF99-421D-9BB1-615276A3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roid Sans" w:hAnsi="Times New Roman" w:cs="Droid Sans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outlineLvl w:val="0"/>
    </w:pPr>
    <w:rPr>
      <w:b/>
      <w:sz w:val="24"/>
      <w:szCs w:val="24"/>
      <w:u w:val="single"/>
    </w:rPr>
  </w:style>
  <w:style w:type="paragraph" w:styleId="Nadpis2">
    <w:name w:val="heading 2"/>
    <w:basedOn w:val="Normln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2DA2BF"/>
      <w:sz w:val="26"/>
      <w:szCs w:val="26"/>
      <w:lang w:val="en-US"/>
    </w:rPr>
  </w:style>
  <w:style w:type="paragraph" w:styleId="Nadpis3">
    <w:name w:val="heading 3"/>
    <w:basedOn w:val="Normln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2DA2BF"/>
      <w:lang w:val="en-US"/>
    </w:rPr>
  </w:style>
  <w:style w:type="paragraph" w:styleId="Nadpis4">
    <w:name w:val="heading 4"/>
    <w:basedOn w:val="Normln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2DA2BF"/>
      <w:lang w:val="en-US"/>
    </w:rPr>
  </w:style>
  <w:style w:type="paragraph" w:styleId="Nadpis5">
    <w:name w:val="heading 5"/>
    <w:basedOn w:val="Normln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16505E"/>
      <w:lang w:val="en-US"/>
    </w:rPr>
  </w:style>
  <w:style w:type="paragraph" w:styleId="Nadpis6">
    <w:name w:val="heading 6"/>
    <w:basedOn w:val="Normln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16505E"/>
      <w:lang w:val="en-US"/>
    </w:rPr>
  </w:style>
  <w:style w:type="paragraph" w:styleId="Nadpis7">
    <w:name w:val="heading 7"/>
    <w:basedOn w:val="Normln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lang w:val="en-US"/>
    </w:rPr>
  </w:style>
  <w:style w:type="paragraph" w:styleId="Nadpis8">
    <w:name w:val="heading 8"/>
    <w:basedOn w:val="Normln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2DA2BF"/>
      <w:lang w:val="en-US"/>
    </w:rPr>
  </w:style>
  <w:style w:type="paragraph" w:styleId="Nadpis9">
    <w:name w:val="heading 9"/>
    <w:basedOn w:val="Normln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link w:val="Textpoznpodarou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qFormat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Standardnpsmoodstavce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Nadpis1Char1">
    <w:name w:val="Nadpis 1 Char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Nadpis2Char1">
    <w:name w:val="Nadpis 2 Char1"/>
    <w:uiPriority w:val="9"/>
    <w:qFormat/>
    <w:rPr>
      <w:rFonts w:ascii="Arial" w:eastAsia="Arial" w:hAnsi="Arial" w:cs="Arial"/>
      <w:sz w:val="34"/>
    </w:rPr>
  </w:style>
  <w:style w:type="character" w:customStyle="1" w:styleId="Nadpis3Char1">
    <w:name w:val="Nadpis 3 Char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dpis4Char1">
    <w:name w:val="Nadpis 4 Char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dpis5Char1">
    <w:name w:val="Nadpis 5 Char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dpis6Char1">
    <w:name w:val="Nadpis 6 Char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dpis7Char1">
    <w:name w:val="Nadpis 7 Char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1">
    <w:name w:val="Nadpis 8 Char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dpis9Char1">
    <w:name w:val="Nadpis 9 Char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NzevChar1">
    <w:name w:val="Název Char1"/>
    <w:uiPriority w:val="10"/>
    <w:qFormat/>
    <w:rPr>
      <w:sz w:val="48"/>
      <w:szCs w:val="48"/>
    </w:rPr>
  </w:style>
  <w:style w:type="character" w:customStyle="1" w:styleId="PodtitulChar">
    <w:name w:val="Podtitul Char"/>
    <w:uiPriority w:val="11"/>
    <w:qFormat/>
    <w:rPr>
      <w:sz w:val="24"/>
      <w:szCs w:val="24"/>
    </w:rPr>
  </w:style>
  <w:style w:type="character" w:customStyle="1" w:styleId="CittChar1">
    <w:name w:val="Citát Char1"/>
    <w:uiPriority w:val="29"/>
    <w:qFormat/>
    <w:rPr>
      <w:i/>
    </w:rPr>
  </w:style>
  <w:style w:type="character" w:customStyle="1" w:styleId="VrazncittChar1">
    <w:name w:val="Výrazný citát Char1"/>
    <w:uiPriority w:val="30"/>
    <w:qFormat/>
    <w:rPr>
      <w:i/>
    </w:rPr>
  </w:style>
  <w:style w:type="character" w:customStyle="1" w:styleId="ZhlavChar1">
    <w:name w:val="Záhlaví Char1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ZpatChar1">
    <w:name w:val="Zápatí Char1"/>
    <w:uiPriority w:val="99"/>
    <w:qFormat/>
  </w:style>
  <w:style w:type="character" w:styleId="Hypertextovodkaz">
    <w:name w:val="Hyperlink"/>
    <w:rPr>
      <w:color w:val="0000FF"/>
      <w:u w:val="single"/>
    </w:rPr>
  </w:style>
  <w:style w:type="character" w:customStyle="1" w:styleId="TextpoznpodarouChar1">
    <w:name w:val="Text pozn. pod čarou Char1"/>
    <w:uiPriority w:val="99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vysvtlivekChar">
    <w:name w:val="Text vysvětlivek Char"/>
    <w:uiPriority w:val="99"/>
    <w:qFormat/>
    <w:rPr>
      <w:sz w:val="20"/>
    </w:rPr>
  </w:style>
  <w:style w:type="character" w:customStyle="1" w:styleId="EndnoteCharacters">
    <w:name w:val="Endnote Characters"/>
    <w:qFormat/>
  </w:style>
  <w:style w:type="character" w:styleId="Odkaznavysvtlivky">
    <w:name w:val="endnote reference"/>
    <w:rPr>
      <w:vertAlign w:val="superscript"/>
    </w:rPr>
  </w:style>
  <w:style w:type="character" w:customStyle="1" w:styleId="WW8Num1z0">
    <w:name w:val="WW8Num1z0"/>
    <w:qFormat/>
    <w:rPr>
      <w:b/>
      <w:sz w:val="24"/>
      <w:szCs w:val="24"/>
    </w:rPr>
  </w:style>
  <w:style w:type="character" w:customStyle="1" w:styleId="WW8Num1z1">
    <w:name w:val="WW8Num1z1"/>
    <w:qFormat/>
    <w:rPr>
      <w:rFonts w:ascii="Arial" w:hAnsi="Arial"/>
      <w:color w:val="000000"/>
    </w:rPr>
  </w:style>
  <w:style w:type="character" w:customStyle="1" w:styleId="WW8Num1z2">
    <w:name w:val="WW8Num1z2"/>
    <w:qFormat/>
    <w:rPr>
      <w:color w:val="000000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4">
    <w:name w:val="WW8Num2z4"/>
    <w:qFormat/>
    <w:rPr>
      <w:rFonts w:ascii="Courier New" w:hAnsi="Courier New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  <w:rPr>
      <w:rFonts w:ascii="Times New Roman" w:hAnsi="Times New Roman"/>
    </w:rPr>
  </w:style>
  <w:style w:type="character" w:customStyle="1" w:styleId="WW8Num8z0">
    <w:name w:val="WW8Num8z0"/>
    <w:qFormat/>
    <w:rPr>
      <w:rFonts w:ascii="Symbol" w:hAnsi="Symbol"/>
    </w:rPr>
  </w:style>
  <w:style w:type="character" w:customStyle="1" w:styleId="WW8Num9z0">
    <w:name w:val="WW8Num9z0"/>
    <w:qFormat/>
    <w:rPr>
      <w:rFonts w:ascii="Symbol" w:hAnsi="Symbol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u w:val="none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8z0">
    <w:name w:val="WW8Num18z0"/>
    <w:qFormat/>
    <w:rPr>
      <w:rFonts w:ascii="Symbol" w:hAnsi="Symbol"/>
    </w:rPr>
  </w:style>
  <w:style w:type="character" w:customStyle="1" w:styleId="WW8Num18z1">
    <w:name w:val="WW8Num18z1"/>
    <w:qFormat/>
    <w:rPr>
      <w:rFonts w:ascii="Courier New" w:hAnsi="Courier New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rFonts w:ascii="Courier New" w:hAnsi="Courier New"/>
    </w:rPr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9z3">
    <w:name w:val="WW8Num19z3"/>
    <w:qFormat/>
    <w:rPr>
      <w:rFonts w:ascii="Symbol" w:hAnsi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2z0">
    <w:name w:val="WW8Num22z0"/>
    <w:qFormat/>
    <w:rPr>
      <w:rFonts w:ascii="Symbol" w:hAnsi="Symbol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3z0">
    <w:name w:val="WW8Num23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/>
    </w:rPr>
  </w:style>
  <w:style w:type="character" w:customStyle="1" w:styleId="WW8Num25z2">
    <w:name w:val="WW8Num25z2"/>
    <w:qFormat/>
    <w:rPr>
      <w:rFonts w:ascii="Wingdings" w:hAnsi="Wingdings"/>
    </w:rPr>
  </w:style>
  <w:style w:type="character" w:customStyle="1" w:styleId="WW8Num25z3">
    <w:name w:val="WW8Num25z3"/>
    <w:qFormat/>
    <w:rPr>
      <w:rFonts w:ascii="Symbol" w:hAnsi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i w:val="0"/>
    </w:rPr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WW8Num27z1">
    <w:name w:val="WW8Num27z1"/>
    <w:qFormat/>
    <w:rPr>
      <w:rFonts w:ascii="Courier New" w:hAnsi="Courier New"/>
    </w:rPr>
  </w:style>
  <w:style w:type="character" w:customStyle="1" w:styleId="WW8Num27z2">
    <w:name w:val="WW8Num27z2"/>
    <w:qFormat/>
    <w:rPr>
      <w:rFonts w:ascii="Wingdings" w:hAnsi="Wingdings"/>
    </w:rPr>
  </w:style>
  <w:style w:type="character" w:customStyle="1" w:styleId="WW8Num28z0">
    <w:name w:val="WW8Num28z0"/>
    <w:qFormat/>
    <w:rPr>
      <w:rFonts w:ascii="Symbol" w:hAnsi="Symbol"/>
    </w:rPr>
  </w:style>
  <w:style w:type="character" w:customStyle="1" w:styleId="WW8Num28z1">
    <w:name w:val="WW8Num28z1"/>
    <w:qFormat/>
    <w:rPr>
      <w:rFonts w:ascii="Courier New" w:hAnsi="Courier New"/>
    </w:rPr>
  </w:style>
  <w:style w:type="character" w:customStyle="1" w:styleId="WW8Num28z2">
    <w:name w:val="WW8Num28z2"/>
    <w:qFormat/>
    <w:rPr>
      <w:rFonts w:ascii="Wingdings" w:hAnsi="Wingdings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1z3">
    <w:name w:val="WW8Num31z3"/>
    <w:qFormat/>
    <w:rPr>
      <w:rFonts w:ascii="Symbol" w:hAnsi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/>
    </w:rPr>
  </w:style>
  <w:style w:type="character" w:customStyle="1" w:styleId="WW8Num33z1">
    <w:name w:val="WW8Num33z1"/>
    <w:qFormat/>
    <w:rPr>
      <w:rFonts w:ascii="Courier New" w:hAnsi="Courier New"/>
    </w:rPr>
  </w:style>
  <w:style w:type="character" w:customStyle="1" w:styleId="WW8Num33z2">
    <w:name w:val="WW8Num33z2"/>
    <w:qFormat/>
    <w:rPr>
      <w:rFonts w:ascii="Wingdings" w:hAnsi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  <w:sz w:val="24"/>
      <w:szCs w:val="24"/>
    </w:rPr>
  </w:style>
  <w:style w:type="character" w:customStyle="1" w:styleId="WW8Num35z1">
    <w:name w:val="WW8Num35z1"/>
    <w:qFormat/>
    <w:rPr>
      <w:rFonts w:ascii="Symbol" w:hAnsi="Symbol"/>
    </w:rPr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/>
    </w:rPr>
  </w:style>
  <w:style w:type="character" w:customStyle="1" w:styleId="WW8Num36z1">
    <w:name w:val="WW8Num36z1"/>
    <w:qFormat/>
    <w:rPr>
      <w:rFonts w:ascii="Courier New" w:hAnsi="Courier New"/>
    </w:rPr>
  </w:style>
  <w:style w:type="character" w:customStyle="1" w:styleId="WW8Num36z2">
    <w:name w:val="WW8Num36z2"/>
    <w:qFormat/>
    <w:rPr>
      <w:rFonts w:ascii="Wingdings" w:hAnsi="Wingdings"/>
    </w:rPr>
  </w:style>
  <w:style w:type="character" w:customStyle="1" w:styleId="WW8Num37z0">
    <w:name w:val="WW8Num37z0"/>
    <w:qFormat/>
    <w:rPr>
      <w:rFonts w:ascii="Symbol" w:hAnsi="Symbol"/>
    </w:rPr>
  </w:style>
  <w:style w:type="character" w:customStyle="1" w:styleId="WW8Num37z1">
    <w:name w:val="WW8Num37z1"/>
    <w:qFormat/>
    <w:rPr>
      <w:rFonts w:ascii="Courier New" w:hAnsi="Courier New"/>
    </w:rPr>
  </w:style>
  <w:style w:type="character" w:customStyle="1" w:styleId="WW8Num37z2">
    <w:name w:val="WW8Num37z2"/>
    <w:qFormat/>
    <w:rPr>
      <w:rFonts w:ascii="Wingdings" w:hAnsi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Symbol" w:hAnsi="Symbol"/>
    </w:rPr>
  </w:style>
  <w:style w:type="character" w:customStyle="1" w:styleId="WW8Num39z1">
    <w:name w:val="WW8Num39z1"/>
    <w:qFormat/>
    <w:rPr>
      <w:rFonts w:ascii="Courier New" w:hAnsi="Courier New"/>
    </w:rPr>
  </w:style>
  <w:style w:type="character" w:customStyle="1" w:styleId="WW8Num39z2">
    <w:name w:val="WW8Num39z2"/>
    <w:qFormat/>
    <w:rPr>
      <w:rFonts w:ascii="Wingdings" w:hAnsi="Wingdings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/>
    </w:rPr>
  </w:style>
  <w:style w:type="character" w:customStyle="1" w:styleId="WW8Num41z1">
    <w:name w:val="WW8Num41z1"/>
    <w:qFormat/>
    <w:rPr>
      <w:rFonts w:ascii="Courier New" w:hAnsi="Courier New"/>
    </w:rPr>
  </w:style>
  <w:style w:type="character" w:customStyle="1" w:styleId="WW8Num41z2">
    <w:name w:val="WW8Num41z2"/>
    <w:qFormat/>
    <w:rPr>
      <w:rFonts w:ascii="Wingdings" w:hAnsi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Verdana" w:eastAsia="Calibri" w:hAnsi="Verdana"/>
      <w:b/>
      <w:bCs/>
    </w:rPr>
  </w:style>
  <w:style w:type="character" w:customStyle="1" w:styleId="WW8Num43z1">
    <w:name w:val="WW8Num43z1"/>
    <w:qFormat/>
    <w:rPr>
      <w:rFonts w:ascii="Verdana" w:eastAsia="Verdana" w:hAnsi="Verdana"/>
      <w:b w:val="0"/>
      <w:bCs/>
      <w:sz w:val="20"/>
      <w:szCs w:val="20"/>
    </w:rPr>
  </w:style>
  <w:style w:type="character" w:customStyle="1" w:styleId="WW8Num43z2">
    <w:name w:val="WW8Num43z2"/>
    <w:qFormat/>
    <w:rPr>
      <w:rFonts w:ascii="Symbol" w:hAnsi="Symbol"/>
      <w:sz w:val="20"/>
      <w:szCs w:val="20"/>
    </w:rPr>
  </w:style>
  <w:style w:type="character" w:customStyle="1" w:styleId="WW8Num43z3">
    <w:name w:val="WW8Num43z3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/>
    </w:rPr>
  </w:style>
  <w:style w:type="character" w:customStyle="1" w:styleId="WW8Num45z1">
    <w:name w:val="WW8Num45z1"/>
    <w:qFormat/>
    <w:rPr>
      <w:rFonts w:ascii="Courier New" w:hAnsi="Courier New"/>
    </w:rPr>
  </w:style>
  <w:style w:type="character" w:customStyle="1" w:styleId="WW8Num45z2">
    <w:name w:val="WW8Num45z2"/>
    <w:qFormat/>
    <w:rPr>
      <w:rFonts w:ascii="Wingdings" w:hAnsi="Wingdings"/>
    </w:rPr>
  </w:style>
  <w:style w:type="character" w:customStyle="1" w:styleId="WW8Num46z0">
    <w:name w:val="WW8Num46z0"/>
    <w:qFormat/>
    <w:rPr>
      <w:rFonts w:ascii="Avenir LT Pro 55 Roman" w:eastAsia="Times New Roman" w:hAnsi="Avenir LT Pro 55 Roman"/>
    </w:rPr>
  </w:style>
  <w:style w:type="character" w:customStyle="1" w:styleId="WW8Num46z1">
    <w:name w:val="WW8Num46z1"/>
    <w:qFormat/>
    <w:rPr>
      <w:rFonts w:ascii="Courier New" w:hAnsi="Courier New"/>
    </w:rPr>
  </w:style>
  <w:style w:type="character" w:customStyle="1" w:styleId="WW8Num46z2">
    <w:name w:val="WW8Num46z2"/>
    <w:qFormat/>
    <w:rPr>
      <w:rFonts w:ascii="Wingdings" w:hAnsi="Wingdings"/>
    </w:rPr>
  </w:style>
  <w:style w:type="character" w:customStyle="1" w:styleId="WW8Num46z3">
    <w:name w:val="WW8Num46z3"/>
    <w:qFormat/>
    <w:rPr>
      <w:rFonts w:ascii="Symbol" w:hAnsi="Symbol"/>
    </w:rPr>
  </w:style>
  <w:style w:type="character" w:customStyle="1" w:styleId="WW8Num47z0">
    <w:name w:val="WW8Num47z0"/>
    <w:qFormat/>
    <w:rPr>
      <w:rFonts w:ascii="Symbol" w:hAnsi="Symbol"/>
    </w:rPr>
  </w:style>
  <w:style w:type="character" w:customStyle="1" w:styleId="WW8Num47z1">
    <w:name w:val="WW8Num47z1"/>
    <w:qFormat/>
    <w:rPr>
      <w:rFonts w:ascii="Courier New" w:hAnsi="Courier New"/>
    </w:rPr>
  </w:style>
  <w:style w:type="character" w:customStyle="1" w:styleId="WW8Num47z2">
    <w:name w:val="WW8Num47z2"/>
    <w:qFormat/>
    <w:rPr>
      <w:rFonts w:ascii="Wingdings" w:hAnsi="Wingdings"/>
    </w:rPr>
  </w:style>
  <w:style w:type="character" w:customStyle="1" w:styleId="WW8Num48z0">
    <w:name w:val="WW8Num48z0"/>
    <w:qFormat/>
    <w:rPr>
      <w:b/>
      <w:sz w:val="24"/>
      <w:szCs w:val="24"/>
    </w:rPr>
  </w:style>
  <w:style w:type="character" w:customStyle="1" w:styleId="WW8Num48z1">
    <w:name w:val="WW8Num48z1"/>
    <w:qFormat/>
    <w:rPr>
      <w:rFonts w:ascii="Symbol" w:hAnsi="Symbol"/>
    </w:rPr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Courier New" w:hAnsi="Courier New"/>
    </w:rPr>
  </w:style>
  <w:style w:type="character" w:customStyle="1" w:styleId="WW8Num49z2">
    <w:name w:val="WW8Num49z2"/>
    <w:qFormat/>
    <w:rPr>
      <w:rFonts w:ascii="Wingdings" w:hAnsi="Wingdings"/>
    </w:rPr>
  </w:style>
  <w:style w:type="character" w:customStyle="1" w:styleId="WW8Num49z3">
    <w:name w:val="WW8Num49z3"/>
    <w:qFormat/>
    <w:rPr>
      <w:rFonts w:ascii="Symbol" w:hAnsi="Symbol"/>
    </w:rPr>
  </w:style>
  <w:style w:type="character" w:customStyle="1" w:styleId="Standardnpsmoodstavce2">
    <w:name w:val="Standardní písmo odstavce2"/>
    <w:qFormat/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4">
    <w:name w:val="WW8Num8z4"/>
    <w:qFormat/>
    <w:rPr>
      <w:rFonts w:ascii="Courier New" w:hAnsi="Courier New"/>
    </w:rPr>
  </w:style>
  <w:style w:type="character" w:customStyle="1" w:styleId="WW8Num10z1">
    <w:name w:val="WW8Num10z1"/>
    <w:qFormat/>
    <w:rPr>
      <w:rFonts w:ascii="starsymbol" w:eastAsia="starsymbol" w:hAnsi="starsymbol"/>
      <w:sz w:val="18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4z1">
    <w:name w:val="WW8Num14z1"/>
    <w:qFormat/>
    <w:rPr>
      <w:rFonts w:ascii="Wingdings" w:hAnsi="Wingdings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6z1">
    <w:name w:val="WW8Num16z1"/>
    <w:qFormat/>
    <w:rPr>
      <w:rFonts w:ascii="Courier New" w:hAnsi="Courier New"/>
    </w:rPr>
  </w:style>
  <w:style w:type="character" w:customStyle="1" w:styleId="WW8Num16z2">
    <w:name w:val="WW8Num16z2"/>
    <w:qFormat/>
    <w:rPr>
      <w:rFonts w:ascii="Wingdings" w:hAnsi="Wingdings"/>
    </w:rPr>
  </w:style>
  <w:style w:type="character" w:customStyle="1" w:styleId="Standardnpsmoodstavce1">
    <w:name w:val="Standardní písmo odstavce1"/>
    <w:qFormat/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7z1">
    <w:name w:val="WW8Num7z1"/>
    <w:qFormat/>
    <w:rPr>
      <w:rFonts w:ascii="Wingdings" w:hAnsi="Wingdings"/>
    </w:rPr>
  </w:style>
  <w:style w:type="character" w:customStyle="1" w:styleId="WW8Num7z6">
    <w:name w:val="WW8Num7z6"/>
    <w:qFormat/>
    <w:rPr>
      <w:rFonts w:ascii="Times New Roman" w:eastAsia="Times New Roman" w:hAnsi="Times New Roman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1">
    <w:name w:val="WW8Num9z1"/>
    <w:qFormat/>
    <w:rPr>
      <w:rFonts w:ascii="Wingdings" w:hAnsi="Wingdings"/>
    </w:rPr>
  </w:style>
  <w:style w:type="character" w:customStyle="1" w:styleId="WW8Num9z6">
    <w:name w:val="WW8Num9z6"/>
    <w:qFormat/>
    <w:rPr>
      <w:rFonts w:ascii="Times New Roman" w:eastAsia="Times New Roman" w:hAnsi="Times New Roman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3z4">
    <w:name w:val="WW8Num13z4"/>
    <w:qFormat/>
    <w:rPr>
      <w:rFonts w:ascii="Courier New" w:hAnsi="Courier New"/>
    </w:rPr>
  </w:style>
  <w:style w:type="character" w:customStyle="1" w:styleId="WW8Num14z6">
    <w:name w:val="WW8Num14z6"/>
    <w:qFormat/>
    <w:rPr>
      <w:rFonts w:ascii="Times New Roman" w:eastAsia="Times New Roman" w:hAnsi="Times New Roman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3">
    <w:name w:val="WW8Num16z3"/>
    <w:qFormat/>
    <w:rPr>
      <w:rFonts w:ascii="Symbol" w:hAnsi="Symbol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-Standardnpsmoodstavce">
    <w:name w:val="WW-Standardní písmo odstavce"/>
    <w:qFormat/>
  </w:style>
  <w:style w:type="character" w:styleId="slostrnky">
    <w:name w:val="page number"/>
    <w:basedOn w:val="WW-Standardnpsmoodstavce"/>
    <w:qFormat/>
  </w:style>
  <w:style w:type="character" w:customStyle="1" w:styleId="content">
    <w:name w:val="content"/>
    <w:basedOn w:val="WW-Standardnpsmoodstavce"/>
    <w:qFormat/>
  </w:style>
  <w:style w:type="character" w:customStyle="1" w:styleId="WW-Odkaznakoment">
    <w:name w:val="WW-Odkaz na komentář"/>
    <w:qFormat/>
    <w:rPr>
      <w:sz w:val="16"/>
      <w:szCs w:val="16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Char">
    <w:name w:val="text Char"/>
    <w:qFormat/>
    <w:rPr>
      <w:rFonts w:ascii="Arial" w:hAnsi="Arial"/>
      <w:sz w:val="22"/>
      <w:szCs w:val="22"/>
      <w:lang w:val="cs-CZ" w:bidi="ar-SA"/>
    </w:rPr>
  </w:style>
  <w:style w:type="character" w:customStyle="1" w:styleId="field">
    <w:name w:val="field"/>
    <w:basedOn w:val="Standardnpsmoodstavce1"/>
    <w:qFormat/>
  </w:style>
  <w:style w:type="character" w:customStyle="1" w:styleId="Zdraznn1">
    <w:name w:val="Zdůraznění1"/>
    <w:qFormat/>
    <w:rPr>
      <w:i/>
      <w:iCs/>
    </w:rPr>
  </w:style>
  <w:style w:type="character" w:customStyle="1" w:styleId="ZhlavChar">
    <w:name w:val="Záhlaví Char"/>
    <w:basedOn w:val="Standardnpsmoodstavce1"/>
    <w:qFormat/>
  </w:style>
  <w:style w:type="character" w:customStyle="1" w:styleId="ZpatChar">
    <w:name w:val="Zápatí Char"/>
    <w:basedOn w:val="Standardnpsmoodstavce1"/>
    <w:qFormat/>
  </w:style>
  <w:style w:type="character" w:customStyle="1" w:styleId="Nadpis1Char">
    <w:name w:val="Nadpis 1 Char"/>
    <w:qFormat/>
    <w:rPr>
      <w:b/>
      <w:sz w:val="24"/>
      <w:szCs w:val="24"/>
      <w:u w:val="single"/>
    </w:rPr>
  </w:style>
  <w:style w:type="character" w:customStyle="1" w:styleId="Nadpis2Char">
    <w:name w:val="Nadpis 2 Char"/>
    <w:qFormat/>
    <w:rPr>
      <w:rFonts w:ascii="Cambria" w:hAnsi="Cambria"/>
      <w:b/>
      <w:bCs/>
      <w:color w:val="2DA2BF"/>
      <w:sz w:val="26"/>
      <w:szCs w:val="26"/>
      <w:lang w:val="en-US"/>
    </w:rPr>
  </w:style>
  <w:style w:type="character" w:customStyle="1" w:styleId="Nadpis3Char">
    <w:name w:val="Nadpis 3 Char"/>
    <w:qFormat/>
    <w:rPr>
      <w:rFonts w:ascii="Cambria" w:hAnsi="Cambria"/>
      <w:b/>
      <w:bCs/>
      <w:color w:val="2DA2BF"/>
      <w:lang w:val="en-US"/>
    </w:rPr>
  </w:style>
  <w:style w:type="character" w:customStyle="1" w:styleId="Nadpis4Char">
    <w:name w:val="Nadpis 4 Char"/>
    <w:qFormat/>
    <w:rPr>
      <w:rFonts w:ascii="Cambria" w:hAnsi="Cambria"/>
      <w:b/>
      <w:bCs/>
      <w:i/>
      <w:iCs/>
      <w:color w:val="2DA2BF"/>
      <w:lang w:val="en-US"/>
    </w:rPr>
  </w:style>
  <w:style w:type="character" w:customStyle="1" w:styleId="Nadpis5Char">
    <w:name w:val="Nadpis 5 Char"/>
    <w:qFormat/>
    <w:rPr>
      <w:rFonts w:ascii="Cambria" w:hAnsi="Cambria"/>
      <w:color w:val="16505E"/>
      <w:lang w:val="en-US"/>
    </w:rPr>
  </w:style>
  <w:style w:type="character" w:customStyle="1" w:styleId="Nadpis6Char">
    <w:name w:val="Nadpis 6 Char"/>
    <w:qFormat/>
    <w:rPr>
      <w:rFonts w:ascii="Cambria" w:hAnsi="Cambria"/>
      <w:i/>
      <w:iCs/>
      <w:color w:val="16505E"/>
      <w:lang w:val="en-US"/>
    </w:rPr>
  </w:style>
  <w:style w:type="character" w:customStyle="1" w:styleId="Nadpis7Char">
    <w:name w:val="Nadpis 7 Char"/>
    <w:qFormat/>
    <w:rPr>
      <w:rFonts w:ascii="Cambria" w:hAnsi="Cambria"/>
      <w:i/>
      <w:iCs/>
      <w:color w:val="404040"/>
      <w:lang w:val="en-US"/>
    </w:rPr>
  </w:style>
  <w:style w:type="character" w:customStyle="1" w:styleId="Nadpis8Char">
    <w:name w:val="Nadpis 8 Char"/>
    <w:qFormat/>
    <w:rPr>
      <w:rFonts w:ascii="Cambria" w:hAnsi="Cambria"/>
      <w:color w:val="2DA2BF"/>
      <w:lang w:val="en-US"/>
    </w:rPr>
  </w:style>
  <w:style w:type="character" w:customStyle="1" w:styleId="Nadpis9Char">
    <w:name w:val="Nadpis 9 Char"/>
    <w:qFormat/>
    <w:rPr>
      <w:rFonts w:ascii="Cambria" w:hAnsi="Cambria"/>
      <w:i/>
      <w:iCs/>
      <w:color w:val="404040"/>
      <w:lang w:val="en-US"/>
    </w:rPr>
  </w:style>
  <w:style w:type="character" w:customStyle="1" w:styleId="NzevChar">
    <w:name w:val="Název Char"/>
    <w:qFormat/>
    <w:rPr>
      <w:rFonts w:ascii="Cambria" w:eastAsia="Times New Roman" w:hAnsi="Cambria"/>
      <w:color w:val="343434"/>
      <w:spacing w:val="5"/>
      <w:sz w:val="52"/>
      <w:szCs w:val="52"/>
    </w:rPr>
  </w:style>
  <w:style w:type="character" w:customStyle="1" w:styleId="PodnadpisChar">
    <w:name w:val="Podnadpis Char"/>
    <w:qFormat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qFormat/>
    <w:rPr>
      <w:b/>
      <w:bCs/>
    </w:rPr>
  </w:style>
  <w:style w:type="character" w:customStyle="1" w:styleId="BezmezerChar">
    <w:name w:val="Bez mezer Char"/>
    <w:qFormat/>
    <w:rPr>
      <w:sz w:val="22"/>
      <w:szCs w:val="22"/>
      <w:lang w:val="cs-CZ" w:bidi="ar-SA"/>
    </w:rPr>
  </w:style>
  <w:style w:type="character" w:customStyle="1" w:styleId="CittChar">
    <w:name w:val="Citát Char"/>
    <w:qFormat/>
    <w:rPr>
      <w:i/>
      <w:iCs/>
      <w:color w:val="000000"/>
    </w:rPr>
  </w:style>
  <w:style w:type="character" w:customStyle="1" w:styleId="VrazncittChar">
    <w:name w:val="Výrazný citát Char"/>
    <w:qFormat/>
    <w:rPr>
      <w:b/>
      <w:bCs/>
      <w:i/>
      <w:iCs/>
      <w:color w:val="2DA2BF"/>
    </w:rPr>
  </w:style>
  <w:style w:type="character" w:styleId="Zdraznnjemn">
    <w:name w:val="Subtle Emphasis"/>
    <w:qFormat/>
    <w:rPr>
      <w:i/>
      <w:iCs/>
      <w:color w:val="808080"/>
    </w:rPr>
  </w:style>
  <w:style w:type="character" w:styleId="Zdraznnintenzivn">
    <w:name w:val="Intense Emphasis"/>
    <w:qFormat/>
    <w:rPr>
      <w:b/>
      <w:bCs/>
      <w:i/>
      <w:iCs/>
      <w:color w:val="2DA2BF"/>
    </w:rPr>
  </w:style>
  <w:style w:type="character" w:styleId="Odkazjemn">
    <w:name w:val="Subtle Reference"/>
    <w:qFormat/>
    <w:rPr>
      <w:smallCaps/>
      <w:color w:val="DA1F28"/>
      <w:u w:val="single"/>
    </w:rPr>
  </w:style>
  <w:style w:type="character" w:styleId="Odkazintenzivn">
    <w:name w:val="Intense Reference"/>
    <w:qFormat/>
    <w:rPr>
      <w:b/>
      <w:bCs/>
      <w:smallCaps/>
      <w:color w:val="DA1F28"/>
      <w:spacing w:val="5"/>
      <w:u w:val="single"/>
    </w:rPr>
  </w:style>
  <w:style w:type="character" w:styleId="Nzevknihy">
    <w:name w:val="Book Title"/>
    <w:qFormat/>
    <w:rPr>
      <w:b/>
      <w:bCs/>
      <w:smallCaps/>
      <w:spacing w:val="5"/>
    </w:rPr>
  </w:style>
  <w:style w:type="character" w:customStyle="1" w:styleId="Odkaznakoment2">
    <w:name w:val="Odkaz na komentář2"/>
    <w:qFormat/>
    <w:rPr>
      <w:sz w:val="16"/>
      <w:szCs w:val="16"/>
    </w:rPr>
  </w:style>
  <w:style w:type="character" w:customStyle="1" w:styleId="TextkomenteChar">
    <w:name w:val="Text komentáře Char"/>
    <w:basedOn w:val="Standardnpsmoodstavce2"/>
    <w:qFormat/>
  </w:style>
  <w:style w:type="character" w:customStyle="1" w:styleId="BodyChar">
    <w:name w:val="~Body Char"/>
    <w:qFormat/>
    <w:rPr>
      <w:rFonts w:ascii="futuraa bk bt" w:hAnsi="futuraa bk bt"/>
      <w:sz w:val="22"/>
      <w:lang w:val="en-US"/>
    </w:rPr>
  </w:style>
  <w:style w:type="character" w:customStyle="1" w:styleId="BulletedListChar">
    <w:name w:val="Bulleted List Char"/>
    <w:qFormat/>
    <w:rPr>
      <w:rFonts w:ascii="Trebuchet MS" w:hAnsi="Trebuchet MS"/>
      <w:lang w:val="en-US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adavackaChar">
    <w:name w:val="zadavacka Char"/>
    <w:qFormat/>
    <w:rPr>
      <w:rFonts w:ascii="Arial" w:hAnsi="Arial"/>
      <w:b/>
      <w:sz w:val="24"/>
      <w:szCs w:val="24"/>
    </w:rPr>
  </w:style>
  <w:style w:type="character" w:customStyle="1" w:styleId="zadavacka2Char">
    <w:name w:val="zadavacka 2 Char"/>
    <w:qFormat/>
    <w:rPr>
      <w:rFonts w:ascii="Arial" w:eastAsia="Verdana" w:hAnsi="Arial"/>
      <w:sz w:val="22"/>
    </w:rPr>
  </w:style>
  <w:style w:type="character" w:customStyle="1" w:styleId="TextpoznpodarouChar">
    <w:name w:val="Text pozn. pod čarou Char"/>
    <w:qFormat/>
    <w:rPr>
      <w:rFonts w:eastAsia="Calibri"/>
      <w:lang w:eastAsia="zh-CN"/>
    </w:rPr>
  </w:style>
  <w:style w:type="character" w:customStyle="1" w:styleId="TextkomenteChar3">
    <w:name w:val="Text komentáře Char3"/>
    <w:qFormat/>
    <w:rPr>
      <w:rFonts w:ascii="Calibri" w:eastAsia="Calibri" w:hAnsi="Calibri"/>
      <w:lang w:eastAsia="zh-CN"/>
    </w:rPr>
  </w:style>
  <w:style w:type="character" w:customStyle="1" w:styleId="OdstavecseseznamemChar">
    <w:name w:val="Odstavec se seznamem Char"/>
    <w:qFormat/>
    <w:rPr>
      <w:rFonts w:ascii="Arial" w:hAnsi="Arial"/>
      <w:sz w:val="22"/>
      <w:szCs w:val="22"/>
    </w:rPr>
  </w:style>
  <w:style w:type="character" w:customStyle="1" w:styleId="linenumber1">
    <w:name w:val="line number1"/>
    <w:qFormat/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1">
    <w:name w:val="Text komentáře Char1"/>
    <w:semiHidden/>
    <w:qFormat/>
    <w:rPr>
      <w:rFonts w:ascii="Arial" w:hAnsi="Arial"/>
      <w:lang w:eastAsia="zh-CN"/>
    </w:rPr>
  </w:style>
  <w:style w:type="character" w:styleId="slodku">
    <w:name w:val="line number"/>
  </w:style>
  <w:style w:type="paragraph" w:customStyle="1" w:styleId="Heading">
    <w:name w:val="Heading"/>
    <w:basedOn w:val="Normln"/>
    <w:next w:val="Zkladntext"/>
    <w:qFormat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sz w:val="52"/>
      <w:szCs w:val="52"/>
      <w:lang w:val="en-US"/>
    </w:rPr>
  </w:style>
  <w:style w:type="paragraph" w:styleId="Zkladntext">
    <w:name w:val="Body Text"/>
    <w:basedOn w:val="Normln"/>
    <w:pPr>
      <w:tabs>
        <w:tab w:val="left" w:pos="720"/>
        <w:tab w:val="left" w:pos="1620"/>
      </w:tabs>
      <w:spacing w:before="240"/>
      <w:ind w:left="360"/>
    </w:pPr>
    <w:rPr>
      <w:rFonts w:ascii="Trebuchet MS" w:hAnsi="Trebuchet MS"/>
      <w:lang w:val="en-US"/>
    </w:rPr>
  </w:style>
  <w:style w:type="paragraph" w:styleId="Seznam">
    <w:name w:val="List"/>
    <w:basedOn w:val="Normln"/>
    <w:pPr>
      <w:ind w:left="283" w:hanging="283"/>
    </w:pPr>
    <w:rPr>
      <w:rFonts w:ascii="Arial" w:hAnsi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sz w:val="24"/>
    </w:rPr>
  </w:style>
  <w:style w:type="paragraph" w:styleId="Odstavecseseznamem">
    <w:name w:val="List Paragraph"/>
    <w:basedOn w:val="Normln"/>
    <w:qFormat/>
    <w:pPr>
      <w:spacing w:after="200"/>
      <w:ind w:left="720"/>
      <w:contextualSpacing/>
    </w:pPr>
  </w:style>
  <w:style w:type="paragraph" w:styleId="Bezmezer">
    <w:name w:val="No Spacing"/>
    <w:qFormat/>
    <w:rPr>
      <w:rFonts w:ascii="Calibri" w:hAnsi="Calibri"/>
      <w:sz w:val="22"/>
      <w:szCs w:val="22"/>
    </w:rPr>
  </w:style>
  <w:style w:type="paragraph" w:styleId="Nzev">
    <w:name w:val="Tit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Podnadpis">
    <w:name w:val="Subtitle"/>
    <w:uiPriority w:val="11"/>
    <w:qFormat/>
    <w:pPr>
      <w:spacing w:before="200" w:after="200"/>
    </w:pPr>
    <w:rPr>
      <w:sz w:val="24"/>
      <w:szCs w:val="24"/>
    </w:rPr>
  </w:style>
  <w:style w:type="paragraph" w:styleId="Citt">
    <w:name w:val="Quote"/>
    <w:basedOn w:val="Normln"/>
    <w:qFormat/>
    <w:rPr>
      <w:i/>
      <w:iCs/>
      <w:color w:val="000000"/>
      <w:lang w:val="en-US"/>
    </w:rPr>
  </w:style>
  <w:style w:type="paragraph" w:styleId="Vrazncitt">
    <w:name w:val="Intense Quote"/>
    <w:basedOn w:val="Normln"/>
    <w:qFormat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lang w:val="en-US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rFonts w:ascii="Calibri" w:eastAsia="Calibri" w:hAnsi="Calibri"/>
    </w:rPr>
  </w:style>
  <w:style w:type="paragraph" w:styleId="Textvysvtlivek">
    <w:name w:val="endnote text"/>
    <w:uiPriority w:val="99"/>
    <w:semiHidden/>
    <w:unhideWhenUsed/>
  </w:style>
  <w:style w:type="paragraph" w:styleId="Obsah1">
    <w:name w:val="toc 1"/>
    <w:basedOn w:val="Normln"/>
    <w:pPr>
      <w:spacing w:after="100" w:line="276" w:lineRule="auto"/>
    </w:pPr>
    <w:rPr>
      <w:rFonts w:ascii="Calibri" w:hAnsi="Calibri"/>
      <w:sz w:val="22"/>
      <w:szCs w:val="22"/>
    </w:rPr>
  </w:style>
  <w:style w:type="paragraph" w:styleId="Obsah2">
    <w:name w:val="toc 2"/>
    <w:basedOn w:val="Normln"/>
    <w:pPr>
      <w:ind w:left="200"/>
    </w:pPr>
  </w:style>
  <w:style w:type="paragraph" w:styleId="Obsah3">
    <w:name w:val="toc 3"/>
    <w:basedOn w:val="Normln"/>
    <w:pPr>
      <w:tabs>
        <w:tab w:val="left" w:pos="1320"/>
        <w:tab w:val="right" w:leader="dot" w:pos="9060"/>
      </w:tabs>
      <w:spacing w:after="100"/>
      <w:ind w:left="440"/>
    </w:pPr>
    <w:rPr>
      <w:rFonts w:ascii="Calibri" w:hAnsi="Calibri"/>
    </w:r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Hlavikarejstku">
    <w:name w:val="index heading"/>
    <w:basedOn w:val="Heading"/>
  </w:style>
  <w:style w:type="paragraph" w:styleId="Nadpisobsahu">
    <w:name w:val="TOC Heading"/>
    <w:basedOn w:val="Nadpis1"/>
    <w:qFormat/>
    <w:rPr>
      <w:rFonts w:ascii="Cambria" w:hAnsi="Cambria"/>
      <w:color w:val="21798E"/>
    </w:rPr>
  </w:style>
  <w:style w:type="paragraph" w:styleId="Seznamobrzk">
    <w:name w:val="table of figures"/>
    <w:uiPriority w:val="99"/>
    <w:unhideWhenUsed/>
  </w:style>
  <w:style w:type="paragraph" w:customStyle="1" w:styleId="Nadpis">
    <w:name w:val="Nadpis"/>
    <w:basedOn w:val="Normln"/>
    <w:qFormat/>
    <w:pPr>
      <w:keepNext/>
      <w:spacing w:before="240" w:after="120"/>
    </w:pPr>
    <w:rPr>
      <w:rFonts w:ascii="bitstream vera sans" w:eastAsia="Mincho" w:hAnsi="bitstream vera sans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Brdtextfet">
    <w:name w:val="Brödtext fet"/>
    <w:basedOn w:val="Zkladntext"/>
    <w:qFormat/>
    <w:rPr>
      <w:b/>
      <w:lang w:val="sv-SE"/>
    </w:rPr>
  </w:style>
  <w:style w:type="paragraph" w:customStyle="1" w:styleId="WW-Normlnweb">
    <w:name w:val="WW-Normální (web)"/>
    <w:basedOn w:val="Normln"/>
    <w:qFormat/>
    <w:pPr>
      <w:spacing w:before="280" w:after="280"/>
    </w:pPr>
    <w:rPr>
      <w:sz w:val="24"/>
      <w:szCs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WW-Textkomente">
    <w:name w:val="WW-Text komentáře"/>
    <w:basedOn w:val="Normln"/>
    <w:qFormat/>
  </w:style>
  <w:style w:type="paragraph" w:customStyle="1" w:styleId="WW-Pedmtkomente">
    <w:name w:val="WW-Předmět komentáře"/>
    <w:basedOn w:val="WW-Textkomente"/>
    <w:qFormat/>
    <w:rPr>
      <w:b/>
      <w:bCs/>
    </w:rPr>
  </w:style>
  <w:style w:type="paragraph" w:customStyle="1" w:styleId="WW-Textbubliny">
    <w:name w:val="WW-Text bubliny"/>
    <w:basedOn w:val="Normln"/>
    <w:qFormat/>
    <w:rPr>
      <w:rFonts w:ascii="Tahoma" w:hAnsi="Tahoma"/>
      <w:sz w:val="16"/>
      <w:szCs w:val="16"/>
    </w:rPr>
  </w:style>
  <w:style w:type="paragraph" w:customStyle="1" w:styleId="Obsahtabulky">
    <w:name w:val="Obsah tabulky"/>
    <w:basedOn w:val="Zkladntext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qFormat/>
  </w:style>
  <w:style w:type="paragraph" w:styleId="Textbubliny">
    <w:name w:val="Balloon Text"/>
    <w:basedOn w:val="Normln"/>
    <w:qFormat/>
    <w:rPr>
      <w:rFonts w:ascii="Tahoma" w:hAnsi="Tahoma"/>
      <w:sz w:val="16"/>
      <w:szCs w:val="16"/>
    </w:rPr>
  </w:style>
  <w:style w:type="paragraph" w:customStyle="1" w:styleId="Textkomente1">
    <w:name w:val="Text komentáře1"/>
    <w:basedOn w:val="Normln"/>
    <w:qFormat/>
  </w:style>
  <w:style w:type="paragraph" w:styleId="Pedmtkomente">
    <w:name w:val="annotation subject"/>
    <w:basedOn w:val="Textkomente1"/>
    <w:qFormat/>
    <w:rPr>
      <w:b/>
      <w:bCs/>
    </w:rPr>
  </w:style>
  <w:style w:type="paragraph" w:customStyle="1" w:styleId="text">
    <w:name w:val="text"/>
    <w:basedOn w:val="Normln"/>
    <w:qFormat/>
    <w:pPr>
      <w:jc w:val="both"/>
    </w:pPr>
    <w:rPr>
      <w:rFonts w:ascii="Arial" w:hAnsi="Arial"/>
      <w:sz w:val="22"/>
      <w:szCs w:val="22"/>
    </w:rPr>
  </w:style>
  <w:style w:type="paragraph" w:customStyle="1" w:styleId="BulletItem">
    <w:name w:val="Bullet Item"/>
    <w:basedOn w:val="Normln"/>
    <w:qFormat/>
    <w:pPr>
      <w:tabs>
        <w:tab w:val="left" w:pos="0"/>
      </w:tabs>
      <w:jc w:val="both"/>
    </w:pPr>
    <w:rPr>
      <w:rFonts w:ascii="Times" w:hAnsi="Times"/>
      <w:lang w:val="en-US"/>
    </w:rPr>
  </w:style>
  <w:style w:type="paragraph" w:customStyle="1" w:styleId="Titulek1">
    <w:name w:val="Titulek1"/>
    <w:basedOn w:val="Normln"/>
    <w:qFormat/>
    <w:pPr>
      <w:spacing w:before="120" w:after="120"/>
    </w:pPr>
    <w:rPr>
      <w:rFonts w:ascii="Arial" w:hAnsi="Arial"/>
      <w:b/>
      <w:bCs/>
    </w:rPr>
  </w:style>
  <w:style w:type="paragraph" w:styleId="Normlnweb">
    <w:name w:val="Normal (Web)"/>
    <w:basedOn w:val="Normln"/>
    <w:qFormat/>
    <w:pPr>
      <w:spacing w:before="280" w:after="280"/>
    </w:pPr>
    <w:rPr>
      <w:sz w:val="24"/>
      <w:szCs w:val="24"/>
    </w:rPr>
  </w:style>
  <w:style w:type="paragraph" w:customStyle="1" w:styleId="pb1body1">
    <w:name w:val="pb1_body1"/>
    <w:basedOn w:val="Normln"/>
    <w:qFormat/>
    <w:pPr>
      <w:spacing w:before="280" w:after="280"/>
    </w:pPr>
    <w:rPr>
      <w:sz w:val="24"/>
      <w:szCs w:val="24"/>
    </w:rPr>
  </w:style>
  <w:style w:type="paragraph" w:customStyle="1" w:styleId="Rejstk61">
    <w:name w:val="Rejstřík 61"/>
    <w:basedOn w:val="Normln"/>
    <w:qFormat/>
    <w:pPr>
      <w:tabs>
        <w:tab w:val="right" w:leader="dot" w:pos="4459"/>
      </w:tabs>
      <w:ind w:left="1200" w:hanging="200"/>
    </w:pPr>
    <w:rPr>
      <w:rFonts w:ascii="Arial" w:hAnsi="Arial"/>
    </w:rPr>
  </w:style>
  <w:style w:type="paragraph" w:styleId="Revize">
    <w:name w:val="Revision"/>
    <w:qFormat/>
    <w:pPr>
      <w:spacing w:after="200" w:line="276" w:lineRule="auto"/>
    </w:pPr>
    <w:rPr>
      <w:rFonts w:ascii="Calibri" w:eastAsia="Arial" w:hAnsi="Calibri"/>
      <w:sz w:val="22"/>
      <w:szCs w:val="22"/>
    </w:rPr>
  </w:style>
  <w:style w:type="paragraph" w:customStyle="1" w:styleId="Titulek2">
    <w:name w:val="Titulek2"/>
    <w:basedOn w:val="Normln"/>
    <w:qFormat/>
    <w:rPr>
      <w:b/>
      <w:bCs/>
      <w:color w:val="2DA2BF"/>
      <w:sz w:val="18"/>
      <w:szCs w:val="18"/>
    </w:rPr>
  </w:style>
  <w:style w:type="paragraph" w:customStyle="1" w:styleId="Podnadpis1">
    <w:name w:val="Podnadpis1"/>
    <w:basedOn w:val="Normln"/>
    <w:qFormat/>
    <w:rPr>
      <w:rFonts w:ascii="Cambria" w:hAnsi="Cambria"/>
      <w:i/>
      <w:iCs/>
      <w:color w:val="2DA2BF"/>
      <w:spacing w:val="15"/>
      <w:sz w:val="24"/>
      <w:szCs w:val="24"/>
      <w:lang w:val="en-US"/>
    </w:rPr>
  </w:style>
  <w:style w:type="paragraph" w:customStyle="1" w:styleId="Textkomente2">
    <w:name w:val="Text komentáře2"/>
    <w:basedOn w:val="Normln"/>
    <w:qFormat/>
  </w:style>
  <w:style w:type="paragraph" w:customStyle="1" w:styleId="Normalbezods">
    <w:name w:val="Normal bez ods."/>
    <w:basedOn w:val="Normln"/>
    <w:qFormat/>
    <w:pPr>
      <w:jc w:val="both"/>
    </w:pPr>
  </w:style>
  <w:style w:type="paragraph" w:customStyle="1" w:styleId="Body">
    <w:name w:val="~Body"/>
    <w:basedOn w:val="Normln"/>
    <w:qFormat/>
    <w:pPr>
      <w:spacing w:line="280" w:lineRule="exact"/>
    </w:pPr>
    <w:rPr>
      <w:rFonts w:ascii="futuraa bk bt" w:hAnsi="futuraa bk bt"/>
      <w:lang w:val="en-US"/>
    </w:rPr>
  </w:style>
  <w:style w:type="paragraph" w:customStyle="1" w:styleId="BulletedList">
    <w:name w:val="Bulleted List"/>
    <w:basedOn w:val="Normln"/>
    <w:qFormat/>
    <w:pPr>
      <w:numPr>
        <w:numId w:val="4"/>
      </w:numPr>
      <w:spacing w:before="120"/>
    </w:pPr>
    <w:rPr>
      <w:rFonts w:ascii="Trebuchet MS" w:hAnsi="Trebuchet MS"/>
      <w:lang w:val="en-US"/>
    </w:rPr>
  </w:style>
  <w:style w:type="paragraph" w:customStyle="1" w:styleId="bulletsLevel1">
    <w:name w:val="~bullets Level 1"/>
    <w:qFormat/>
    <w:pPr>
      <w:keepLines/>
      <w:numPr>
        <w:numId w:val="3"/>
      </w:numPr>
      <w:tabs>
        <w:tab w:val="clear" w:pos="720"/>
        <w:tab w:val="left" w:pos="1123"/>
      </w:tabs>
      <w:spacing w:before="50" w:after="50" w:line="280" w:lineRule="exact"/>
      <w:ind w:left="1123" w:hanging="216"/>
    </w:pPr>
    <w:rPr>
      <w:rFonts w:ascii="Georgia" w:hAnsi="Georgia"/>
      <w:sz w:val="18"/>
      <w:szCs w:val="18"/>
    </w:rPr>
  </w:style>
  <w:style w:type="paragraph" w:customStyle="1" w:styleId="bulletsLevel1LASTitem">
    <w:name w:val="~bullets Level 1 LAST item"/>
    <w:basedOn w:val="bulletsLevel1"/>
    <w:qFormat/>
    <w:pPr>
      <w:spacing w:after="230"/>
    </w:pPr>
  </w:style>
  <w:style w:type="paragraph" w:customStyle="1" w:styleId="zadavacka">
    <w:name w:val="zadavacka"/>
    <w:basedOn w:val="Normln"/>
    <w:qFormat/>
    <w:pPr>
      <w:numPr>
        <w:numId w:val="2"/>
      </w:numPr>
      <w:spacing w:before="300" w:after="240"/>
      <w:jc w:val="both"/>
    </w:pPr>
    <w:rPr>
      <w:b/>
      <w:sz w:val="24"/>
      <w:szCs w:val="24"/>
    </w:rPr>
  </w:style>
  <w:style w:type="paragraph" w:customStyle="1" w:styleId="zadavacka2">
    <w:name w:val="zadavacka 2"/>
    <w:basedOn w:val="zadavacka"/>
    <w:qFormat/>
    <w:pPr>
      <w:spacing w:before="60" w:after="0"/>
      <w:ind w:left="567" w:hanging="567"/>
    </w:pPr>
    <w:rPr>
      <w:rFonts w:eastAsia="Verdana"/>
      <w:b w:val="0"/>
      <w:sz w:val="22"/>
      <w:szCs w:val="20"/>
    </w:rPr>
  </w:style>
  <w:style w:type="paragraph" w:customStyle="1" w:styleId="zadavacka3">
    <w:name w:val="zadavacka 3"/>
    <w:basedOn w:val="zadavacka2"/>
    <w:qFormat/>
    <w:pPr>
      <w:ind w:left="360" w:hanging="360"/>
    </w:pPr>
  </w:style>
  <w:style w:type="paragraph" w:customStyle="1" w:styleId="zadavacka4">
    <w:name w:val="zadavacka 4"/>
    <w:basedOn w:val="zadavacka3"/>
    <w:qFormat/>
  </w:style>
  <w:style w:type="paragraph" w:customStyle="1" w:styleId="Titulek4">
    <w:name w:val="Titulek4"/>
    <w:basedOn w:val="Normln"/>
    <w:qFormat/>
    <w:pPr>
      <w:suppressLineNumbers/>
      <w:spacing w:before="120" w:after="120"/>
    </w:pPr>
    <w:rPr>
      <w:rFonts w:ascii="Calibri" w:eastAsia="Calibri" w:hAnsi="Calibri"/>
      <w:i/>
      <w:iCs/>
      <w:sz w:val="24"/>
      <w:szCs w:val="24"/>
    </w:rPr>
  </w:style>
  <w:style w:type="paragraph" w:customStyle="1" w:styleId="PreformattedText">
    <w:name w:val="Preformatted Text"/>
    <w:basedOn w:val="Normln"/>
    <w:qFormat/>
    <w:rPr>
      <w:rFonts w:ascii="Liberation Mono" w:eastAsia="NSimSun" w:hAnsi="Liberation Mono"/>
      <w:lang w:bidi="hi-IN"/>
    </w:rPr>
  </w:style>
  <w:style w:type="paragraph" w:customStyle="1" w:styleId="TableContents">
    <w:name w:val="Table Contents"/>
    <w:basedOn w:val="Normln"/>
    <w:qFormat/>
    <w:pPr>
      <w:suppressLineNumbers/>
    </w:pPr>
    <w:rPr>
      <w:rFonts w:ascii="Liberation Serif" w:eastAsia="SimSun" w:hAnsi="Liberation Serif"/>
      <w:sz w:val="24"/>
      <w:szCs w:val="24"/>
      <w:lang w:bidi="hi-I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xtkomente">
    <w:name w:val="annotation text"/>
    <w:basedOn w:val="Normln"/>
    <w:semiHidden/>
    <w:qFormat/>
  </w:style>
  <w:style w:type="paragraph" w:customStyle="1" w:styleId="Textpoznpodarou1">
    <w:name w:val="Text pozn. pod čarou1"/>
    <w:next w:val="Seznamobrzk"/>
    <w:link w:val="Heading3Ch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paragraph" w:customStyle="1" w:styleId="TextBody">
    <w:name w:val="Text Body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4A6F-7F27-4330-BE8D-1EA61FD8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1782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Siroky</dc:creator>
  <dc:description/>
  <cp:lastModifiedBy>Vojtěch Široký</cp:lastModifiedBy>
  <cp:revision>3</cp:revision>
  <dcterms:created xsi:type="dcterms:W3CDTF">2025-07-25T08:01:00Z</dcterms:created>
  <dcterms:modified xsi:type="dcterms:W3CDTF">2025-07-25T08:03:00Z</dcterms:modified>
  <dc:language>en-GB</dc:language>
</cp:coreProperties>
</file>