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F7" w:rsidRPr="00EA7320" w:rsidRDefault="009B1167" w:rsidP="0014442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A7320">
        <w:rPr>
          <w:rFonts w:ascii="Arial" w:hAnsi="Arial" w:cs="Arial"/>
          <w:b/>
        </w:rPr>
        <w:t xml:space="preserve">Dotazy zadavatele k plánované veřejné zakázce „CESNET - Dodávka výpočetního clusteru pro </w:t>
      </w:r>
      <w:proofErr w:type="spellStart"/>
      <w:r w:rsidRPr="00EA7320">
        <w:rPr>
          <w:rFonts w:ascii="Arial" w:hAnsi="Arial" w:cs="Arial"/>
          <w:b/>
        </w:rPr>
        <w:t>MetaCentrum</w:t>
      </w:r>
      <w:proofErr w:type="spellEnd"/>
      <w:r w:rsidRPr="00EA7320">
        <w:rPr>
          <w:rFonts w:ascii="Arial" w:hAnsi="Arial" w:cs="Arial"/>
          <w:b/>
        </w:rPr>
        <w:t xml:space="preserve"> (2020)“</w:t>
      </w:r>
    </w:p>
    <w:p w:rsidR="00296B26" w:rsidRPr="00EA7320" w:rsidRDefault="00296B26">
      <w:pPr>
        <w:rPr>
          <w:rFonts w:ascii="Arial" w:hAnsi="Arial" w:cs="Arial"/>
        </w:rPr>
      </w:pPr>
    </w:p>
    <w:p w:rsidR="00906B7F" w:rsidRPr="00EA7320" w:rsidRDefault="00906B7F" w:rsidP="000704ED">
      <w:pPr>
        <w:spacing w:before="240" w:after="120"/>
        <w:rPr>
          <w:rFonts w:ascii="Arial" w:hAnsi="Arial" w:cs="Arial"/>
          <w:b/>
          <w:u w:val="single"/>
        </w:rPr>
      </w:pPr>
      <w:r w:rsidRPr="00EA7320">
        <w:rPr>
          <w:rFonts w:ascii="Arial" w:hAnsi="Arial" w:cs="Arial"/>
          <w:b/>
          <w:u w:val="single"/>
        </w:rPr>
        <w:t>A. Dotazy k části 1 veřejné zakázky - výpočetní uzly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436"/>
        <w:gridCol w:w="4947"/>
        <w:gridCol w:w="4506"/>
      </w:tblGrid>
      <w:tr w:rsidR="00296B26" w:rsidRPr="00EA7320" w:rsidTr="000704ED">
        <w:tc>
          <w:tcPr>
            <w:tcW w:w="436" w:type="dxa"/>
            <w:shd w:val="clear" w:color="auto" w:fill="BFBFBF" w:themeFill="background1" w:themeFillShade="BF"/>
          </w:tcPr>
          <w:p w:rsidR="00296B26" w:rsidRPr="00EA7320" w:rsidRDefault="00296B26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Č.</w:t>
            </w:r>
          </w:p>
        </w:tc>
        <w:tc>
          <w:tcPr>
            <w:tcW w:w="4947" w:type="dxa"/>
            <w:shd w:val="clear" w:color="auto" w:fill="BFBFBF" w:themeFill="background1" w:themeFillShade="BF"/>
          </w:tcPr>
          <w:p w:rsidR="00296B26" w:rsidRPr="00EA7320" w:rsidRDefault="00296B26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Dotaz Zadavatele</w:t>
            </w:r>
          </w:p>
        </w:tc>
        <w:tc>
          <w:tcPr>
            <w:tcW w:w="4506" w:type="dxa"/>
            <w:shd w:val="clear" w:color="auto" w:fill="BFBFBF" w:themeFill="background1" w:themeFillShade="BF"/>
          </w:tcPr>
          <w:p w:rsidR="00296B26" w:rsidRPr="00EA7320" w:rsidRDefault="00296B26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Odpověď dodavatele</w:t>
            </w:r>
          </w:p>
        </w:tc>
      </w:tr>
      <w:tr w:rsidR="00296B26" w:rsidRPr="00EA7320" w:rsidTr="000704ED">
        <w:tc>
          <w:tcPr>
            <w:tcW w:w="436" w:type="dxa"/>
          </w:tcPr>
          <w:p w:rsidR="00296B26" w:rsidRPr="00EA7320" w:rsidRDefault="00296B26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1</w:t>
            </w:r>
            <w:r w:rsidR="0043446D" w:rsidRPr="00EA7320">
              <w:rPr>
                <w:rFonts w:ascii="Arial" w:hAnsi="Arial" w:cs="Arial"/>
              </w:rPr>
              <w:t>.</w:t>
            </w:r>
          </w:p>
        </w:tc>
        <w:tc>
          <w:tcPr>
            <w:tcW w:w="4947" w:type="dxa"/>
          </w:tcPr>
          <w:p w:rsidR="00D54976" w:rsidRPr="00EA7320" w:rsidRDefault="00F825DB" w:rsidP="00D54976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 xml:space="preserve">Lze očekávat </w:t>
            </w:r>
            <w:r w:rsidR="00AC1B31" w:rsidRPr="00EA7320">
              <w:rPr>
                <w:rFonts w:ascii="Arial" w:hAnsi="Arial" w:cs="Arial"/>
              </w:rPr>
              <w:t xml:space="preserve">ve vámi nabízeném řešení clusteru </w:t>
            </w:r>
            <w:r w:rsidRPr="00EA7320">
              <w:rPr>
                <w:rFonts w:ascii="Arial" w:hAnsi="Arial" w:cs="Arial"/>
              </w:rPr>
              <w:t xml:space="preserve">možnost dodání nových typů procesorů ohlášených předními výrobci (AMD, Intel), </w:t>
            </w:r>
            <w:r w:rsidR="00AC1B31" w:rsidRPr="00EA7320">
              <w:rPr>
                <w:rFonts w:ascii="Arial" w:hAnsi="Arial" w:cs="Arial"/>
              </w:rPr>
              <w:t>podl</w:t>
            </w:r>
            <w:r w:rsidRPr="00EA7320">
              <w:rPr>
                <w:rFonts w:ascii="Arial" w:hAnsi="Arial" w:cs="Arial"/>
              </w:rPr>
              <w:t>e kterých by se měl zvýšit</w:t>
            </w:r>
            <w:r w:rsidR="00AC1B31" w:rsidRPr="00EA7320">
              <w:rPr>
                <w:rFonts w:ascii="Arial" w:hAnsi="Arial" w:cs="Arial"/>
              </w:rPr>
              <w:t xml:space="preserve"> výpočetní výkon procesorů</w:t>
            </w:r>
            <w:r w:rsidRPr="00EA7320">
              <w:rPr>
                <w:rFonts w:ascii="Arial" w:hAnsi="Arial" w:cs="Arial"/>
              </w:rPr>
              <w:t xml:space="preserve"> </w:t>
            </w:r>
            <w:r w:rsidR="00AC1B31" w:rsidRPr="00EA7320">
              <w:rPr>
                <w:rFonts w:ascii="Arial" w:hAnsi="Arial" w:cs="Arial"/>
              </w:rPr>
              <w:t>v souladu s</w:t>
            </w:r>
            <w:r w:rsidR="0019371B" w:rsidRPr="00EA7320">
              <w:rPr>
                <w:rFonts w:ascii="Arial" w:hAnsi="Arial" w:cs="Arial"/>
              </w:rPr>
              <w:t> </w:t>
            </w:r>
            <w:r w:rsidR="00906D03" w:rsidRPr="00EA7320">
              <w:rPr>
                <w:rFonts w:ascii="Arial" w:hAnsi="Arial" w:cs="Arial"/>
              </w:rPr>
              <w:t>výsledk</w:t>
            </w:r>
            <w:r w:rsidR="00AC1B31" w:rsidRPr="00EA7320">
              <w:rPr>
                <w:rFonts w:ascii="Arial" w:hAnsi="Arial" w:cs="Arial"/>
              </w:rPr>
              <w:t>y</w:t>
            </w:r>
            <w:r w:rsidR="00906D03" w:rsidRPr="00EA7320">
              <w:rPr>
                <w:rFonts w:ascii="Arial" w:hAnsi="Arial" w:cs="Arial"/>
              </w:rPr>
              <w:t xml:space="preserve"> </w:t>
            </w:r>
            <w:proofErr w:type="spellStart"/>
            <w:r w:rsidR="00906D03" w:rsidRPr="00EA7320">
              <w:rPr>
                <w:rFonts w:ascii="Arial" w:hAnsi="Arial" w:cs="Arial"/>
              </w:rPr>
              <w:t>benchmark</w:t>
            </w:r>
            <w:proofErr w:type="spellEnd"/>
            <w:r w:rsidR="00906D03" w:rsidRPr="00EA7320">
              <w:rPr>
                <w:rFonts w:ascii="Arial" w:hAnsi="Arial" w:cs="Arial"/>
              </w:rPr>
              <w:t xml:space="preserve"> test</w:t>
            </w:r>
            <w:r w:rsidR="00AC1B31" w:rsidRPr="00EA7320">
              <w:rPr>
                <w:rFonts w:ascii="Arial" w:hAnsi="Arial" w:cs="Arial"/>
              </w:rPr>
              <w:t>ů</w:t>
            </w:r>
            <w:r w:rsidR="00906D03" w:rsidRPr="00EA7320">
              <w:rPr>
                <w:rFonts w:ascii="Arial" w:hAnsi="Arial" w:cs="Arial"/>
              </w:rPr>
              <w:t xml:space="preserve"> dle SPEC CPU® 2017</w:t>
            </w:r>
            <w:r w:rsidRPr="00EA7320">
              <w:rPr>
                <w:rFonts w:ascii="Arial" w:hAnsi="Arial" w:cs="Arial"/>
              </w:rPr>
              <w:t xml:space="preserve"> </w:t>
            </w:r>
            <w:r w:rsidR="0032726E" w:rsidRPr="00EA7320">
              <w:rPr>
                <w:rFonts w:ascii="Arial" w:hAnsi="Arial" w:cs="Arial"/>
              </w:rPr>
              <w:t>(</w:t>
            </w:r>
            <w:hyperlink r:id="rId9" w:history="1">
              <w:r w:rsidR="0032726E" w:rsidRPr="00EA7320">
                <w:rPr>
                  <w:rStyle w:val="Hypertextovodkaz"/>
                  <w:rFonts w:ascii="Arial" w:hAnsi="Arial" w:cs="Arial"/>
                </w:rPr>
                <w:t>https://www.spec.org/cpu2017/</w:t>
              </w:r>
            </w:hyperlink>
            <w:r w:rsidR="0032726E" w:rsidRPr="00EA7320">
              <w:rPr>
                <w:rFonts w:ascii="Arial" w:hAnsi="Arial" w:cs="Arial"/>
              </w:rPr>
              <w:t>)</w:t>
            </w:r>
            <w:r w:rsidR="0019371B" w:rsidRPr="00EA7320">
              <w:rPr>
                <w:rFonts w:ascii="Arial" w:hAnsi="Arial" w:cs="Arial"/>
              </w:rPr>
              <w:t xml:space="preserve"> tak, aby bylo výhodné jejich využití v rámci clusteru z hlediska poměru cena/výkon?</w:t>
            </w:r>
          </w:p>
          <w:p w:rsidR="004035C0" w:rsidRPr="000704ED" w:rsidRDefault="00437D0B" w:rsidP="004035C0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V</w:t>
            </w:r>
            <w:r w:rsidR="00F825DB" w:rsidRPr="00EA7320">
              <w:rPr>
                <w:rFonts w:ascii="Arial" w:hAnsi="Arial" w:cs="Arial"/>
              </w:rPr>
              <w:t xml:space="preserve"> jakém termínu </w:t>
            </w:r>
            <w:r w:rsidR="00AC1B31" w:rsidRPr="00EA7320">
              <w:rPr>
                <w:rFonts w:ascii="Arial" w:hAnsi="Arial" w:cs="Arial"/>
              </w:rPr>
              <w:t xml:space="preserve">by bylo možné </w:t>
            </w:r>
            <w:r w:rsidR="00F825DB" w:rsidRPr="00EA7320">
              <w:rPr>
                <w:rFonts w:ascii="Arial" w:hAnsi="Arial" w:cs="Arial"/>
              </w:rPr>
              <w:t>počítat</w:t>
            </w:r>
            <w:r w:rsidR="00AC1B31" w:rsidRPr="00EA7320">
              <w:rPr>
                <w:rFonts w:ascii="Arial" w:hAnsi="Arial" w:cs="Arial"/>
              </w:rPr>
              <w:t xml:space="preserve"> s dodávkou clusteru s využitím těchto procesorů</w:t>
            </w:r>
            <w:r w:rsidR="00F825DB" w:rsidRPr="00EA7320">
              <w:rPr>
                <w:rFonts w:ascii="Arial" w:hAnsi="Arial" w:cs="Arial"/>
              </w:rPr>
              <w:t>?</w:t>
            </w:r>
          </w:p>
        </w:tc>
        <w:tc>
          <w:tcPr>
            <w:tcW w:w="4506" w:type="dxa"/>
          </w:tcPr>
          <w:p w:rsidR="00296B26" w:rsidRPr="00EA7320" w:rsidRDefault="00296B26">
            <w:pPr>
              <w:rPr>
                <w:rFonts w:ascii="Arial" w:hAnsi="Arial" w:cs="Arial"/>
              </w:rPr>
            </w:pPr>
          </w:p>
        </w:tc>
      </w:tr>
      <w:tr w:rsidR="00296B26" w:rsidRPr="00EA7320" w:rsidTr="000704ED">
        <w:tc>
          <w:tcPr>
            <w:tcW w:w="436" w:type="dxa"/>
          </w:tcPr>
          <w:p w:rsidR="00296B26" w:rsidRPr="00EA7320" w:rsidRDefault="0043446D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2.</w:t>
            </w:r>
          </w:p>
        </w:tc>
        <w:tc>
          <w:tcPr>
            <w:tcW w:w="4947" w:type="dxa"/>
          </w:tcPr>
          <w:p w:rsidR="00691B87" w:rsidRPr="00EA7320" w:rsidRDefault="00691B87" w:rsidP="00691B87">
            <w:pPr>
              <w:rPr>
                <w:rFonts w:ascii="Arial" w:hAnsi="Arial" w:cs="Arial"/>
              </w:rPr>
            </w:pPr>
            <w:r w:rsidRPr="000704ED">
              <w:rPr>
                <w:rFonts w:ascii="Arial" w:hAnsi="Arial" w:cs="Arial"/>
              </w:rPr>
              <w:t xml:space="preserve">Zadavatel jako jedno z binárních kritérií v rámci technických požadavků na předmět plnění plánuje omezit zdola minimální výkon procesorů měřený na základě </w:t>
            </w:r>
            <w:proofErr w:type="spellStart"/>
            <w:r w:rsidRPr="00EA7320">
              <w:rPr>
                <w:rFonts w:ascii="Arial" w:hAnsi="Arial" w:cs="Arial"/>
              </w:rPr>
              <w:t>benchmark</w:t>
            </w:r>
            <w:proofErr w:type="spellEnd"/>
            <w:r w:rsidRPr="00EA7320">
              <w:rPr>
                <w:rFonts w:ascii="Arial" w:hAnsi="Arial" w:cs="Arial"/>
              </w:rPr>
              <w:t xml:space="preserve"> testu dle SPEC CPU® 2017 (</w:t>
            </w:r>
            <w:hyperlink r:id="rId10" w:history="1">
              <w:r w:rsidRPr="00EA7320">
                <w:rPr>
                  <w:rStyle w:val="Hypertextovodkaz"/>
                  <w:rFonts w:ascii="Arial" w:hAnsi="Arial" w:cs="Arial"/>
                </w:rPr>
                <w:t>https://www.spec.org/cpu2017/</w:t>
              </w:r>
            </w:hyperlink>
            <w:r w:rsidRPr="00EA7320">
              <w:rPr>
                <w:rFonts w:ascii="Arial" w:hAnsi="Arial" w:cs="Arial"/>
              </w:rPr>
              <w:t>).  T</w:t>
            </w:r>
            <w:r w:rsidRPr="000704ED">
              <w:rPr>
                <w:rFonts w:ascii="Arial" w:hAnsi="Arial" w:cs="Arial"/>
              </w:rPr>
              <w:t xml:space="preserve">j. zadavatel bude vyžadovat minimální výkon jednoho procesoru v bodech podle </w:t>
            </w:r>
            <w:r w:rsidRPr="00EA7320">
              <w:rPr>
                <w:rFonts w:ascii="Arial" w:hAnsi="Arial" w:cs="Arial"/>
              </w:rPr>
              <w:t xml:space="preserve">SPEC CPU® 2017). Jaký je dle vašeho názoru minimální výkon, který je rozumné požadovat, zejména s ohledem </w:t>
            </w:r>
            <w:proofErr w:type="gramStart"/>
            <w:r w:rsidRPr="00EA7320">
              <w:rPr>
                <w:rFonts w:ascii="Arial" w:hAnsi="Arial" w:cs="Arial"/>
              </w:rPr>
              <w:t>na</w:t>
            </w:r>
            <w:proofErr w:type="gramEnd"/>
          </w:p>
          <w:p w:rsidR="00691B87" w:rsidRPr="000704ED" w:rsidRDefault="00691B87" w:rsidP="00691B8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704ED">
              <w:rPr>
                <w:rFonts w:ascii="Arial" w:hAnsi="Arial" w:cs="Arial"/>
              </w:rPr>
              <w:t>poměr cena / výkon</w:t>
            </w:r>
          </w:p>
          <w:p w:rsidR="00691B87" w:rsidRPr="000704ED" w:rsidRDefault="00691B87" w:rsidP="00691B8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704ED">
              <w:rPr>
                <w:rFonts w:ascii="Arial" w:hAnsi="Arial" w:cs="Arial"/>
              </w:rPr>
              <w:t>dostupné procesory na trhu popřípadě s ohledem na výrobci ohlašovanou výrobu a distribuci nových typů procesorů</w:t>
            </w:r>
          </w:p>
          <w:p w:rsidR="00691B87" w:rsidRPr="000704ED" w:rsidRDefault="00691B87" w:rsidP="00691B87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704ED">
              <w:rPr>
                <w:rFonts w:ascii="Arial" w:hAnsi="Arial" w:cs="Arial"/>
              </w:rPr>
              <w:t>Stávající situaci na trhu a ve světě</w:t>
            </w:r>
          </w:p>
          <w:p w:rsidR="00691B87" w:rsidRPr="000704ED" w:rsidRDefault="00691B87" w:rsidP="00691B87">
            <w:pPr>
              <w:spacing w:before="120"/>
              <w:rPr>
                <w:rFonts w:ascii="Arial" w:hAnsi="Arial" w:cs="Arial"/>
                <w:color w:val="FF0000"/>
              </w:rPr>
            </w:pPr>
            <w:r w:rsidRPr="000704ED">
              <w:rPr>
                <w:rFonts w:ascii="Arial" w:hAnsi="Arial" w:cs="Arial"/>
              </w:rPr>
              <w:t>Pozn.: zadavatel plánuje zahájit zadávací řízení v řádu týdnů, s dodávkou počítá cca na přelomu 3. a 4. kvartálu 2020. Dodací lhůta je plánována v délce cca 12 týdnů.</w:t>
            </w:r>
          </w:p>
        </w:tc>
        <w:tc>
          <w:tcPr>
            <w:tcW w:w="4506" w:type="dxa"/>
          </w:tcPr>
          <w:p w:rsidR="00296B26" w:rsidRPr="00EA7320" w:rsidRDefault="00296B26">
            <w:pPr>
              <w:rPr>
                <w:rFonts w:ascii="Arial" w:hAnsi="Arial" w:cs="Arial"/>
              </w:rPr>
            </w:pPr>
          </w:p>
        </w:tc>
      </w:tr>
      <w:tr w:rsidR="00296B26" w:rsidRPr="00EA7320" w:rsidTr="000704ED">
        <w:tc>
          <w:tcPr>
            <w:tcW w:w="436" w:type="dxa"/>
          </w:tcPr>
          <w:p w:rsidR="00296B26" w:rsidRPr="00EA7320" w:rsidRDefault="005D47C3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3.</w:t>
            </w:r>
          </w:p>
        </w:tc>
        <w:tc>
          <w:tcPr>
            <w:tcW w:w="4947" w:type="dxa"/>
          </w:tcPr>
          <w:p w:rsidR="00D54976" w:rsidRPr="00EA7320" w:rsidRDefault="00691B87" w:rsidP="002C7322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Jsou (budou v nejbližší době) na trhu dostupné nové tipy grafických karet NVIDIA T4?</w:t>
            </w:r>
          </w:p>
        </w:tc>
        <w:tc>
          <w:tcPr>
            <w:tcW w:w="4506" w:type="dxa"/>
          </w:tcPr>
          <w:p w:rsidR="00296B26" w:rsidRPr="00EA7320" w:rsidRDefault="00296B26">
            <w:pPr>
              <w:rPr>
                <w:rFonts w:ascii="Arial" w:hAnsi="Arial" w:cs="Arial"/>
              </w:rPr>
            </w:pPr>
          </w:p>
        </w:tc>
      </w:tr>
    </w:tbl>
    <w:p w:rsidR="00296B26" w:rsidRPr="00EA7320" w:rsidRDefault="00296B26">
      <w:pPr>
        <w:rPr>
          <w:rFonts w:ascii="Arial" w:hAnsi="Arial" w:cs="Arial"/>
        </w:rPr>
      </w:pPr>
    </w:p>
    <w:p w:rsidR="00EA7320" w:rsidRDefault="000B147E" w:rsidP="000704ED">
      <w:pPr>
        <w:spacing w:before="240"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="00EA7320" w:rsidRPr="00EA7320">
        <w:rPr>
          <w:rFonts w:ascii="Arial" w:hAnsi="Arial" w:cs="Arial"/>
          <w:b/>
          <w:u w:val="single"/>
        </w:rPr>
        <w:t xml:space="preserve">. Dotazy k části </w:t>
      </w:r>
      <w:r>
        <w:rPr>
          <w:rFonts w:ascii="Arial" w:hAnsi="Arial" w:cs="Arial"/>
          <w:b/>
          <w:u w:val="single"/>
        </w:rPr>
        <w:t>2</w:t>
      </w:r>
      <w:r w:rsidR="00EA7320" w:rsidRPr="00EA7320">
        <w:rPr>
          <w:rFonts w:ascii="Arial" w:hAnsi="Arial" w:cs="Arial"/>
          <w:b/>
          <w:u w:val="single"/>
        </w:rPr>
        <w:t xml:space="preserve"> veřejné zakázky - </w:t>
      </w:r>
      <w:r>
        <w:rPr>
          <w:rFonts w:ascii="Arial" w:hAnsi="Arial" w:cs="Arial"/>
          <w:b/>
          <w:u w:val="single"/>
        </w:rPr>
        <w:t>diskové úložiště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83"/>
        <w:gridCol w:w="4878"/>
        <w:gridCol w:w="4428"/>
      </w:tblGrid>
      <w:tr w:rsidR="00FD6F8B" w:rsidRPr="00EA7320" w:rsidTr="000704ED">
        <w:tc>
          <w:tcPr>
            <w:tcW w:w="583" w:type="dxa"/>
            <w:shd w:val="clear" w:color="auto" w:fill="BFBFBF" w:themeFill="background1" w:themeFillShade="BF"/>
          </w:tcPr>
          <w:p w:rsidR="00FD6F8B" w:rsidRPr="00EA7320" w:rsidRDefault="00FD6F8B" w:rsidP="00C81032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Č.</w:t>
            </w:r>
          </w:p>
        </w:tc>
        <w:tc>
          <w:tcPr>
            <w:tcW w:w="4878" w:type="dxa"/>
            <w:shd w:val="clear" w:color="auto" w:fill="BFBFBF" w:themeFill="background1" w:themeFillShade="BF"/>
          </w:tcPr>
          <w:p w:rsidR="00FD6F8B" w:rsidRPr="00EA7320" w:rsidRDefault="00FD6F8B" w:rsidP="00C81032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Dotaz Zadavatele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FD6F8B" w:rsidRPr="00EA7320" w:rsidRDefault="00FD6F8B" w:rsidP="00C81032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Odpověď dodavatele</w:t>
            </w:r>
          </w:p>
        </w:tc>
      </w:tr>
      <w:tr w:rsidR="00FD6F8B" w:rsidRPr="00EA7320" w:rsidTr="000704ED">
        <w:tc>
          <w:tcPr>
            <w:tcW w:w="583" w:type="dxa"/>
          </w:tcPr>
          <w:p w:rsidR="00FD6F8B" w:rsidRPr="00EA7320" w:rsidRDefault="00FD6F8B" w:rsidP="00C81032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1.</w:t>
            </w:r>
          </w:p>
        </w:tc>
        <w:tc>
          <w:tcPr>
            <w:tcW w:w="4878" w:type="dxa"/>
          </w:tcPr>
          <w:p w:rsidR="00FD6F8B" w:rsidRPr="00EA7320" w:rsidRDefault="00FD6F8B" w:rsidP="00FD6F8B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Jednou ze dvou samostatných částí předmětu plnění veřejné zakázky bude rovněž dodávka diskového pole (diskového subsystému), u kterého budeme požadovat, aby umožňovalo obě následující konfigurace (ne nutně současně):</w:t>
            </w:r>
          </w:p>
          <w:p w:rsidR="00FD6F8B" w:rsidRPr="00EA7320" w:rsidRDefault="00FD6F8B" w:rsidP="00FD6F8B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 xml:space="preserve">1. vytvoření virtuálního </w:t>
            </w:r>
            <w:proofErr w:type="gramStart"/>
            <w:r w:rsidRPr="00EA7320">
              <w:rPr>
                <w:rFonts w:ascii="Arial" w:hAnsi="Arial" w:cs="Arial"/>
              </w:rPr>
              <w:t>disku z SSD</w:t>
            </w:r>
            <w:proofErr w:type="gramEnd"/>
            <w:r w:rsidRPr="00EA7320">
              <w:rPr>
                <w:rFonts w:ascii="Arial" w:hAnsi="Arial" w:cs="Arial"/>
              </w:rPr>
              <w:t xml:space="preserve"> i rotačních disků, s automatickou migrací dat mezi SSD a rotačními disky podle frekvence přístupu k datům. Realizace je možná např. pomocí </w:t>
            </w:r>
            <w:r w:rsidRPr="00EA7320">
              <w:rPr>
                <w:rFonts w:ascii="Arial" w:hAnsi="Arial" w:cs="Arial"/>
              </w:rPr>
              <w:lastRenderedPageBreak/>
              <w:t xml:space="preserve">migrace mezi dvěma </w:t>
            </w:r>
            <w:proofErr w:type="spellStart"/>
            <w:r w:rsidRPr="00EA7320">
              <w:rPr>
                <w:rFonts w:ascii="Arial" w:hAnsi="Arial" w:cs="Arial"/>
              </w:rPr>
              <w:t>tiery</w:t>
            </w:r>
            <w:proofErr w:type="spellEnd"/>
            <w:r w:rsidRPr="00EA7320">
              <w:rPr>
                <w:rFonts w:ascii="Arial" w:hAnsi="Arial" w:cs="Arial"/>
              </w:rPr>
              <w:t xml:space="preserve">, </w:t>
            </w:r>
            <w:proofErr w:type="gramStart"/>
            <w:r w:rsidRPr="00EA7320">
              <w:rPr>
                <w:rFonts w:ascii="Arial" w:hAnsi="Arial" w:cs="Arial"/>
              </w:rPr>
              <w:t>vytvořenými z SSD</w:t>
            </w:r>
            <w:proofErr w:type="gramEnd"/>
            <w:r w:rsidRPr="00EA7320">
              <w:rPr>
                <w:rFonts w:ascii="Arial" w:hAnsi="Arial" w:cs="Arial"/>
              </w:rPr>
              <w:t xml:space="preserve"> a rotačních disků, nebo využitím SSD disků jako </w:t>
            </w:r>
            <w:proofErr w:type="spellStart"/>
            <w:r w:rsidRPr="00EA7320">
              <w:rPr>
                <w:rFonts w:ascii="Arial" w:hAnsi="Arial" w:cs="Arial"/>
              </w:rPr>
              <w:t>cache</w:t>
            </w:r>
            <w:proofErr w:type="spellEnd"/>
            <w:r w:rsidRPr="00EA7320">
              <w:rPr>
                <w:rFonts w:ascii="Arial" w:hAnsi="Arial" w:cs="Arial"/>
              </w:rPr>
              <w:t>.</w:t>
            </w:r>
          </w:p>
          <w:p w:rsidR="00FD6F8B" w:rsidRPr="00EA7320" w:rsidRDefault="00FD6F8B" w:rsidP="00FD6F8B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 xml:space="preserve">2. zpřístupnění SSD vrstvy samostatně, ve formě virtuálního disku vytvořeného </w:t>
            </w:r>
            <w:proofErr w:type="gramStart"/>
            <w:r w:rsidRPr="00EA7320">
              <w:rPr>
                <w:rFonts w:ascii="Arial" w:hAnsi="Arial" w:cs="Arial"/>
              </w:rPr>
              <w:t>jen z SSD</w:t>
            </w:r>
            <w:proofErr w:type="gramEnd"/>
            <w:r w:rsidRPr="00EA7320">
              <w:rPr>
                <w:rFonts w:ascii="Arial" w:hAnsi="Arial" w:cs="Arial"/>
              </w:rPr>
              <w:t xml:space="preserve"> disků.</w:t>
            </w:r>
          </w:p>
          <w:p w:rsidR="00FD6F8B" w:rsidRPr="00C81032" w:rsidRDefault="00FD6F8B" w:rsidP="00FD6F8B">
            <w:pPr>
              <w:rPr>
                <w:rFonts w:ascii="Arial" w:hAnsi="Arial" w:cs="Arial"/>
                <w:color w:val="FF0000"/>
              </w:rPr>
            </w:pPr>
            <w:r w:rsidRPr="00EA7320">
              <w:rPr>
                <w:rFonts w:ascii="Arial" w:hAnsi="Arial" w:cs="Arial"/>
              </w:rPr>
              <w:t>Poskytuje dle vašeho názoru výše uvedený výčet požadavků/konfigurací pro řešení diskového pole dostatečné možnosti, nebo je z hlediska případných možných dalších řešení z vašeho pohledu příliš omezující? V případě že nabízíte další možná řešení, prosíme, uveďte jaké.</w:t>
            </w:r>
          </w:p>
        </w:tc>
        <w:tc>
          <w:tcPr>
            <w:tcW w:w="4428" w:type="dxa"/>
          </w:tcPr>
          <w:p w:rsidR="00FD6F8B" w:rsidRPr="00EA7320" w:rsidRDefault="00FD6F8B" w:rsidP="00C81032">
            <w:pPr>
              <w:rPr>
                <w:rFonts w:ascii="Arial" w:hAnsi="Arial" w:cs="Arial"/>
              </w:rPr>
            </w:pPr>
          </w:p>
        </w:tc>
      </w:tr>
      <w:tr w:rsidR="00FD6F8B" w:rsidRPr="00EA7320" w:rsidTr="000704ED">
        <w:tc>
          <w:tcPr>
            <w:tcW w:w="583" w:type="dxa"/>
          </w:tcPr>
          <w:p w:rsidR="00FD6F8B" w:rsidRPr="00EA7320" w:rsidRDefault="00FD6F8B" w:rsidP="00C81032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878" w:type="dxa"/>
          </w:tcPr>
          <w:p w:rsidR="00FD6F8B" w:rsidRDefault="00FD6F8B" w:rsidP="00FD6F8B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V případě řešení diskového pole tvořeného pouze sestavou SSD disků budeme požadovat konfiguraci RAID skupin, která musí poskytovat celkovou průchodnost alespoň 3.000.000 kB/s při sekvenčním čtení 12 velkých souborů a 3.000.000 kB/s při sekvenčním zápisu 12 velkých souborů a která bude poskytovat alespoň 70.000 IOPS pří náhodném přístupu ke 4kB blokům.</w:t>
            </w:r>
          </w:p>
          <w:p w:rsidR="00691B87" w:rsidRPr="00EA7320" w:rsidRDefault="00691B87" w:rsidP="00FD6F8B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 xml:space="preserve">Je tento způsob měření/ověření požadovaných parametrů pole pro vás přijatelný, nebo je vhodnějším/přesnějším způsob ověření s pomocí přesného příkazu pro </w:t>
            </w:r>
            <w:proofErr w:type="spellStart"/>
            <w:r w:rsidRPr="00EA7320">
              <w:rPr>
                <w:rFonts w:ascii="Arial" w:hAnsi="Arial" w:cs="Arial"/>
              </w:rPr>
              <w:t>iozone</w:t>
            </w:r>
            <w:proofErr w:type="spellEnd"/>
            <w:r w:rsidRPr="00EA7320">
              <w:rPr>
                <w:rFonts w:ascii="Arial" w:hAnsi="Arial" w:cs="Arial"/>
              </w:rPr>
              <w:t>/</w:t>
            </w:r>
            <w:proofErr w:type="spellStart"/>
            <w:r w:rsidRPr="00EA7320">
              <w:rPr>
                <w:rFonts w:ascii="Arial" w:hAnsi="Arial" w:cs="Arial"/>
              </w:rPr>
              <w:t>fio</w:t>
            </w:r>
            <w:proofErr w:type="spellEnd"/>
            <w:r w:rsidRPr="00EA7320">
              <w:rPr>
                <w:rFonts w:ascii="Arial" w:hAnsi="Arial" w:cs="Arial"/>
              </w:rPr>
              <w:t xml:space="preserve"> </w:t>
            </w:r>
            <w:proofErr w:type="spellStart"/>
            <w:r w:rsidRPr="00EA7320">
              <w:rPr>
                <w:rFonts w:ascii="Arial" w:hAnsi="Arial" w:cs="Arial"/>
              </w:rPr>
              <w:t>benchmark</w:t>
            </w:r>
            <w:proofErr w:type="spellEnd"/>
            <w:r w:rsidRPr="00EA7320">
              <w:rPr>
                <w:rFonts w:ascii="Arial" w:hAnsi="Arial" w:cs="Arial"/>
              </w:rPr>
              <w:t>?</w:t>
            </w:r>
          </w:p>
        </w:tc>
        <w:tc>
          <w:tcPr>
            <w:tcW w:w="4428" w:type="dxa"/>
          </w:tcPr>
          <w:p w:rsidR="00FD6F8B" w:rsidRPr="00EA7320" w:rsidRDefault="00FD6F8B" w:rsidP="00C81032">
            <w:pPr>
              <w:rPr>
                <w:rFonts w:ascii="Arial" w:hAnsi="Arial" w:cs="Arial"/>
              </w:rPr>
            </w:pPr>
          </w:p>
        </w:tc>
      </w:tr>
      <w:tr w:rsidR="00FD6F8B" w:rsidRPr="00EA7320" w:rsidTr="000704ED">
        <w:tc>
          <w:tcPr>
            <w:tcW w:w="583" w:type="dxa"/>
          </w:tcPr>
          <w:p w:rsidR="00FD6F8B" w:rsidRPr="00EA7320" w:rsidRDefault="00691B87" w:rsidP="00691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78" w:type="dxa"/>
          </w:tcPr>
          <w:p w:rsidR="00FD6F8B" w:rsidRPr="00EA7320" w:rsidRDefault="00FD6F8B" w:rsidP="00C81032">
            <w:pPr>
              <w:rPr>
                <w:rFonts w:ascii="Arial" w:hAnsi="Arial" w:cs="Arial"/>
              </w:rPr>
            </w:pPr>
            <w:r w:rsidRPr="00EA7320">
              <w:rPr>
                <w:rFonts w:ascii="Arial" w:hAnsi="Arial" w:cs="Arial"/>
              </w:rPr>
              <w:t>Byl by pro vámi nabízené řešení diskového pole omezujícím faktorem požadavek na přímou podporu NFSv4.1 s Kerberos a případně i HDFS?</w:t>
            </w:r>
          </w:p>
        </w:tc>
        <w:tc>
          <w:tcPr>
            <w:tcW w:w="4428" w:type="dxa"/>
          </w:tcPr>
          <w:p w:rsidR="00FD6F8B" w:rsidRPr="00EA7320" w:rsidRDefault="00FD6F8B" w:rsidP="00C81032">
            <w:pPr>
              <w:rPr>
                <w:rFonts w:ascii="Arial" w:hAnsi="Arial" w:cs="Arial"/>
              </w:rPr>
            </w:pPr>
          </w:p>
        </w:tc>
      </w:tr>
    </w:tbl>
    <w:p w:rsidR="00FD6F8B" w:rsidRPr="000B147E" w:rsidRDefault="00FD6F8B" w:rsidP="000B147E">
      <w:pPr>
        <w:spacing w:after="120"/>
        <w:rPr>
          <w:rFonts w:ascii="Arial" w:hAnsi="Arial" w:cs="Arial"/>
          <w:b/>
          <w:u w:val="single"/>
        </w:rPr>
      </w:pPr>
    </w:p>
    <w:sectPr w:rsidR="00FD6F8B" w:rsidRPr="000B147E" w:rsidSect="00F216E7">
      <w:headerReference w:type="default" r:id="rId11"/>
      <w:pgSz w:w="11906" w:h="16838"/>
      <w:pgMar w:top="1418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81" w:rsidRDefault="00813581" w:rsidP="0018390E">
      <w:r>
        <w:separator/>
      </w:r>
    </w:p>
  </w:endnote>
  <w:endnote w:type="continuationSeparator" w:id="0">
    <w:p w:rsidR="00813581" w:rsidRDefault="00813581" w:rsidP="0018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Pro 55 Roman">
    <w:panose1 w:val="020B05030202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81" w:rsidRDefault="00813581" w:rsidP="0018390E">
      <w:r>
        <w:separator/>
      </w:r>
    </w:p>
  </w:footnote>
  <w:footnote w:type="continuationSeparator" w:id="0">
    <w:p w:rsidR="00813581" w:rsidRDefault="00813581" w:rsidP="0018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0E" w:rsidRDefault="0018390E" w:rsidP="0018390E">
    <w:pPr>
      <w:pStyle w:val="Zhlav"/>
      <w:jc w:val="right"/>
      <w:rPr>
        <w:rFonts w:ascii="Avenir LT Pro 55 Roman" w:hAnsi="Avenir LT Pro 55 Roman"/>
      </w:rPr>
    </w:pPr>
    <w:r>
      <w:rPr>
        <w:rFonts w:ascii="Avenir LT Pro 55 Roman" w:hAnsi="Avenir LT Pro 55 Roman"/>
      </w:rPr>
      <w:t xml:space="preserve">Klasifikace dokumentu: </w:t>
    </w:r>
    <w:r w:rsidRPr="00C35EEA">
      <w:rPr>
        <w:rFonts w:ascii="Avenir LT Pro 55 Roman" w:hAnsi="Avenir LT Pro 55 Roman"/>
        <w:b/>
      </w:rPr>
      <w:t>veřejný</w:t>
    </w:r>
  </w:p>
  <w:p w:rsidR="0018390E" w:rsidRDefault="0018390E" w:rsidP="0018390E">
    <w:pPr>
      <w:pStyle w:val="Zhlav"/>
      <w:jc w:val="right"/>
    </w:pPr>
    <w:r w:rsidRPr="00772C8C">
      <w:rPr>
        <w:rFonts w:ascii="Avenir LT Pro 55 Roman" w:hAnsi="Avenir LT Pro 55 Roman"/>
      </w:rPr>
      <w:t xml:space="preserve">Strana </w:t>
    </w:r>
    <w:r w:rsidRPr="00772C8C">
      <w:rPr>
        <w:rFonts w:ascii="Avenir LT Pro 55 Roman" w:hAnsi="Avenir LT Pro 55 Roman"/>
      </w:rPr>
      <w:fldChar w:fldCharType="begin"/>
    </w:r>
    <w:r w:rsidRPr="00772C8C">
      <w:rPr>
        <w:rFonts w:ascii="Avenir LT Pro 55 Roman" w:hAnsi="Avenir LT Pro 55 Roman"/>
      </w:rPr>
      <w:instrText xml:space="preserve"> PAGE   \* MERGEFORMAT </w:instrText>
    </w:r>
    <w:r w:rsidRPr="00772C8C">
      <w:rPr>
        <w:rFonts w:ascii="Avenir LT Pro 55 Roman" w:hAnsi="Avenir LT Pro 55 Roman"/>
      </w:rPr>
      <w:fldChar w:fldCharType="separate"/>
    </w:r>
    <w:r w:rsidR="00F216E7">
      <w:rPr>
        <w:rFonts w:ascii="Avenir LT Pro 55 Roman" w:hAnsi="Avenir LT Pro 55 Roman"/>
        <w:noProof/>
      </w:rPr>
      <w:t>1</w:t>
    </w:r>
    <w:r w:rsidRPr="00772C8C">
      <w:rPr>
        <w:rFonts w:ascii="Avenir LT Pro 55 Roman" w:hAnsi="Avenir LT Pro 55 Roman"/>
      </w:rPr>
      <w:fldChar w:fldCharType="end"/>
    </w:r>
    <w:r w:rsidRPr="00772C8C">
      <w:rPr>
        <w:rFonts w:ascii="Avenir LT Pro 55 Roman" w:hAnsi="Avenir LT Pro 55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57FB2CAF" wp14:editId="59EE0D50">
          <wp:simplePos x="901700" y="450850"/>
          <wp:positionH relativeFrom="column">
            <wp:posOffset>3810</wp:posOffset>
          </wp:positionH>
          <wp:positionV relativeFrom="page">
            <wp:align>top</wp:align>
          </wp:positionV>
          <wp:extent cx="1800000" cy="9828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ne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C8C">
      <w:rPr>
        <w:rFonts w:ascii="Avenir LT Pro 55 Roman" w:hAnsi="Avenir LT Pro 55 Roman"/>
      </w:rPr>
      <w:t xml:space="preserve"> z </w:t>
    </w:r>
    <w:r w:rsidRPr="00772C8C">
      <w:rPr>
        <w:rFonts w:ascii="Avenir LT Pro 55 Roman" w:hAnsi="Avenir LT Pro 55 Roman"/>
      </w:rPr>
      <w:fldChar w:fldCharType="begin"/>
    </w:r>
    <w:r w:rsidRPr="00772C8C">
      <w:rPr>
        <w:rFonts w:ascii="Avenir LT Pro 55 Roman" w:hAnsi="Avenir LT Pro 55 Roman"/>
      </w:rPr>
      <w:instrText xml:space="preserve"> NUMPAGES   \* MERGEFORMAT </w:instrText>
    </w:r>
    <w:r w:rsidRPr="00772C8C">
      <w:rPr>
        <w:rFonts w:ascii="Avenir LT Pro 55 Roman" w:hAnsi="Avenir LT Pro 55 Roman"/>
      </w:rPr>
      <w:fldChar w:fldCharType="separate"/>
    </w:r>
    <w:r w:rsidR="00F216E7">
      <w:rPr>
        <w:rFonts w:ascii="Avenir LT Pro 55 Roman" w:hAnsi="Avenir LT Pro 55 Roman"/>
        <w:noProof/>
      </w:rPr>
      <w:t>2</w:t>
    </w:r>
    <w:r w:rsidRPr="00772C8C">
      <w:rPr>
        <w:rFonts w:ascii="Avenir LT Pro 55 Roman" w:hAnsi="Avenir LT Pro 55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0C63"/>
    <w:multiLevelType w:val="hybridMultilevel"/>
    <w:tmpl w:val="A2C4EAB8"/>
    <w:lvl w:ilvl="0" w:tplc="DB32B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67"/>
    <w:rsid w:val="00033758"/>
    <w:rsid w:val="0005699A"/>
    <w:rsid w:val="000704ED"/>
    <w:rsid w:val="000726BB"/>
    <w:rsid w:val="000B147E"/>
    <w:rsid w:val="000D729A"/>
    <w:rsid w:val="00144424"/>
    <w:rsid w:val="0018390E"/>
    <w:rsid w:val="0019371B"/>
    <w:rsid w:val="00273527"/>
    <w:rsid w:val="00296B26"/>
    <w:rsid w:val="002C7322"/>
    <w:rsid w:val="002E0EA2"/>
    <w:rsid w:val="002E44F3"/>
    <w:rsid w:val="0032726E"/>
    <w:rsid w:val="004035C0"/>
    <w:rsid w:val="004253CD"/>
    <w:rsid w:val="0043446D"/>
    <w:rsid w:val="00437D0B"/>
    <w:rsid w:val="005D47C3"/>
    <w:rsid w:val="005F3404"/>
    <w:rsid w:val="00691B87"/>
    <w:rsid w:val="00813581"/>
    <w:rsid w:val="00906B7F"/>
    <w:rsid w:val="00906D03"/>
    <w:rsid w:val="00954DE4"/>
    <w:rsid w:val="009611EA"/>
    <w:rsid w:val="009B1167"/>
    <w:rsid w:val="00AC1B31"/>
    <w:rsid w:val="00C31A01"/>
    <w:rsid w:val="00C501F7"/>
    <w:rsid w:val="00C70ABF"/>
    <w:rsid w:val="00D24CF9"/>
    <w:rsid w:val="00D54976"/>
    <w:rsid w:val="00DA26EF"/>
    <w:rsid w:val="00EA3A79"/>
    <w:rsid w:val="00EA6D88"/>
    <w:rsid w:val="00EA7320"/>
    <w:rsid w:val="00F216E7"/>
    <w:rsid w:val="00F825DB"/>
    <w:rsid w:val="00FD6F8B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272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446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A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11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90E"/>
  </w:style>
  <w:style w:type="paragraph" w:styleId="Zpat">
    <w:name w:val="footer"/>
    <w:basedOn w:val="Normln"/>
    <w:link w:val="ZpatChar"/>
    <w:uiPriority w:val="99"/>
    <w:unhideWhenUsed/>
    <w:rsid w:val="00183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2726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446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A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11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90E"/>
  </w:style>
  <w:style w:type="paragraph" w:styleId="Zpat">
    <w:name w:val="footer"/>
    <w:basedOn w:val="Normln"/>
    <w:link w:val="ZpatChar"/>
    <w:uiPriority w:val="99"/>
    <w:unhideWhenUsed/>
    <w:rsid w:val="00183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pec.org/cpu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pec.org/cpu201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674E-EA56-4B37-85C1-06AE0FFE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 Siroky</dc:creator>
  <cp:lastModifiedBy>Vojta Siroky</cp:lastModifiedBy>
  <cp:revision>3</cp:revision>
  <dcterms:created xsi:type="dcterms:W3CDTF">2020-04-01T13:46:00Z</dcterms:created>
  <dcterms:modified xsi:type="dcterms:W3CDTF">2020-04-01T13:47:00Z</dcterms:modified>
</cp:coreProperties>
</file>